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9BAE"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62B2ED06"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294032E9"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1EEDE02D"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26BDD56C" w14:textId="77777777" w:rsidR="00F14F2E" w:rsidRDefault="00F14F2E" w:rsidP="00914F46">
            <w:pPr>
              <w:rPr>
                <w:rFonts w:cs="Arial"/>
                <w:sz w:val="24"/>
                <w:szCs w:val="24"/>
              </w:rPr>
            </w:pPr>
          </w:p>
          <w:p w14:paraId="5BB1571D"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3D67ED4B"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4AC0E2AC" w14:textId="548250B5" w:rsidR="00577421" w:rsidRDefault="00520D49" w:rsidP="00577421">
            <w:pPr>
              <w:pStyle w:val="Paragraphnonumbers"/>
              <w:numPr>
                <w:ilvl w:val="0"/>
                <w:numId w:val="8"/>
              </w:numPr>
              <w:spacing w:after="120"/>
              <w:ind w:left="714" w:hanging="357"/>
              <w:rPr>
                <w:rFonts w:cs="Arial"/>
                <w:bCs/>
              </w:rPr>
            </w:pPr>
            <w:r w:rsidRPr="00520D49">
              <w:rPr>
                <w:rFonts w:cs="Arial"/>
                <w:bCs/>
              </w:rPr>
              <w:t>Are there any aspects of diagnosing Community Acquired Pneumonia and Hospital Acquired Pneumonia for which guidance is needed (beyond microbiological tests to determine causal agents)?</w:t>
            </w:r>
          </w:p>
          <w:p w14:paraId="265F1C7A" w14:textId="020C2EFD" w:rsidR="00520D49" w:rsidRPr="00577421" w:rsidRDefault="00520D49" w:rsidP="00577421">
            <w:pPr>
              <w:pStyle w:val="Paragraphnonumbers"/>
              <w:numPr>
                <w:ilvl w:val="0"/>
                <w:numId w:val="8"/>
              </w:numPr>
              <w:spacing w:after="120"/>
              <w:ind w:left="714" w:hanging="357"/>
              <w:rPr>
                <w:rFonts w:cs="Arial"/>
                <w:bCs/>
              </w:rPr>
            </w:pPr>
            <w:r w:rsidRPr="00520D49">
              <w:rPr>
                <w:rFonts w:cs="Arial"/>
                <w:bCs/>
              </w:rPr>
              <w:t>Is it more important to update our guidance on duration of antibiotic treatment for under 18s with Community Acquired Pneumonia or to cover diagnosis of Community Acquired Pneumonia and Hospital Acquired Pneumonia for this age group?</w:t>
            </w:r>
          </w:p>
          <w:p w14:paraId="64C4B4DA" w14:textId="77777777" w:rsidR="00F14F2E" w:rsidRDefault="00F14F2E" w:rsidP="00914F46">
            <w:pPr>
              <w:rPr>
                <w:sz w:val="24"/>
                <w:szCs w:val="24"/>
              </w:rPr>
            </w:pPr>
          </w:p>
          <w:p w14:paraId="695AFD43" w14:textId="77777777" w:rsidR="00F510F0" w:rsidRPr="00861041" w:rsidRDefault="00275DFD"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329253AD"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53BD86C"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63EA6785" w14:textId="6D99862E" w:rsidR="00A812B3" w:rsidRPr="00376A05" w:rsidRDefault="006E45C1" w:rsidP="00215BC8">
            <w:pPr>
              <w:spacing w:before="240"/>
              <w:rPr>
                <w:rFonts w:cs="Arial"/>
                <w:szCs w:val="22"/>
              </w:rPr>
            </w:pPr>
            <w:r>
              <w:rPr>
                <w:rFonts w:cs="Arial"/>
                <w:b/>
                <w:szCs w:val="22"/>
              </w:rPr>
              <w:t>The Faculty of Pharmaceutical Medicine of the Royal Colleges of Physicians of the UK (FPM)</w:t>
            </w:r>
          </w:p>
        </w:tc>
      </w:tr>
      <w:tr w:rsidR="009119E3" w14:paraId="31F24880"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2A0DF14" w14:textId="77777777" w:rsidR="00751EC5" w:rsidRDefault="00751EC5" w:rsidP="00215BC8">
            <w:pPr>
              <w:pStyle w:val="BodyText"/>
              <w:rPr>
                <w:rFonts w:cs="Arial"/>
                <w:szCs w:val="22"/>
              </w:rPr>
            </w:pPr>
            <w:r>
              <w:rPr>
                <w:rFonts w:cs="Arial"/>
                <w:szCs w:val="22"/>
              </w:rPr>
              <w:t>Disclosure</w:t>
            </w:r>
          </w:p>
          <w:p w14:paraId="609AC3D4"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2C577362" w14:textId="202AEB2D" w:rsidR="009119E3" w:rsidRPr="00810A2E" w:rsidRDefault="006E45C1" w:rsidP="00376A05">
            <w:pPr>
              <w:spacing w:before="240"/>
              <w:rPr>
                <w:rFonts w:cs="Arial"/>
                <w:b/>
                <w:szCs w:val="22"/>
                <w:highlight w:val="lightGray"/>
                <w:u w:val="single"/>
              </w:rPr>
            </w:pPr>
            <w:r>
              <w:rPr>
                <w:rFonts w:cs="Arial"/>
                <w:b/>
                <w:szCs w:val="22"/>
                <w:highlight w:val="lightGray"/>
              </w:rPr>
              <w:t>None</w:t>
            </w:r>
          </w:p>
        </w:tc>
      </w:tr>
      <w:tr w:rsidR="00A812B3" w14:paraId="058C44D8"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6D41E6F" w14:textId="77777777"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02A04A31" w14:textId="77777777" w:rsidR="00A812B3" w:rsidRPr="00810A2E" w:rsidRDefault="00A812B3" w:rsidP="00215BC8">
            <w:pPr>
              <w:rPr>
                <w:rFonts w:cs="Arial"/>
                <w:szCs w:val="22"/>
              </w:rPr>
            </w:pPr>
          </w:p>
          <w:p w14:paraId="5A4AE050" w14:textId="5EF7D1CB" w:rsidR="00A812B3" w:rsidRPr="00810A2E" w:rsidRDefault="006E45C1" w:rsidP="00376A05">
            <w:pPr>
              <w:rPr>
                <w:rFonts w:cs="Arial"/>
                <w:szCs w:val="22"/>
              </w:rPr>
            </w:pPr>
            <w:r>
              <w:rPr>
                <w:rFonts w:cs="Arial"/>
                <w:b/>
                <w:szCs w:val="22"/>
              </w:rPr>
              <w:t>Ben Cottam</w:t>
            </w:r>
          </w:p>
        </w:tc>
      </w:tr>
      <w:tr w:rsidR="0020118C" w14:paraId="4FAA7AE9"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139CC89"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51689B34" w14:textId="77777777" w:rsidR="0020118C" w:rsidRDefault="00376A05" w:rsidP="00215BC8">
            <w:pPr>
              <w:rPr>
                <w:rFonts w:cs="Arial"/>
                <w:szCs w:val="22"/>
              </w:rPr>
            </w:pPr>
            <w:r>
              <w:rPr>
                <w:rFonts w:cs="Arial"/>
                <w:szCs w:val="22"/>
              </w:rPr>
              <w:t>[for office use only]</w:t>
            </w:r>
          </w:p>
          <w:p w14:paraId="35170869" w14:textId="77777777" w:rsidR="0022485E" w:rsidRPr="00810A2E" w:rsidRDefault="0022485E" w:rsidP="00215BC8">
            <w:pPr>
              <w:rPr>
                <w:rFonts w:cs="Arial"/>
                <w:szCs w:val="22"/>
              </w:rPr>
            </w:pPr>
          </w:p>
        </w:tc>
      </w:tr>
      <w:tr w:rsidR="00A812B3" w14:paraId="216D7F35" w14:textId="77777777" w:rsidTr="0089231B">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5A3A2385" w14:textId="77777777" w:rsidR="00A812B3" w:rsidRDefault="00A812B3" w:rsidP="0044012A">
            <w:pPr>
              <w:jc w:val="center"/>
              <w:rPr>
                <w:b/>
                <w:bCs/>
              </w:rPr>
            </w:pPr>
          </w:p>
          <w:p w14:paraId="03718E38" w14:textId="77777777" w:rsidR="00A812B3" w:rsidRDefault="00A812B3" w:rsidP="0044012A">
            <w:pPr>
              <w:jc w:val="center"/>
              <w:rPr>
                <w:b/>
                <w:bCs/>
              </w:rPr>
            </w:pPr>
          </w:p>
          <w:p w14:paraId="3669B936" w14:textId="77777777" w:rsidR="00A812B3" w:rsidRDefault="00A812B3" w:rsidP="0044012A">
            <w:pPr>
              <w:jc w:val="center"/>
              <w:rPr>
                <w:b/>
                <w:bCs/>
              </w:rPr>
            </w:pPr>
            <w:r>
              <w:rPr>
                <w:b/>
                <w:bCs/>
              </w:rPr>
              <w:t>Comment</w:t>
            </w:r>
          </w:p>
          <w:p w14:paraId="10F30F4E"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579EF023" w14:textId="77777777" w:rsidR="00A812B3" w:rsidRDefault="00A812B3">
            <w:pPr>
              <w:jc w:val="center"/>
              <w:rPr>
                <w:b/>
                <w:bCs/>
              </w:rPr>
            </w:pPr>
          </w:p>
          <w:p w14:paraId="076F4F87" w14:textId="77777777" w:rsidR="00A812B3" w:rsidRDefault="00A812B3">
            <w:pPr>
              <w:pStyle w:val="BodyText"/>
              <w:jc w:val="center"/>
            </w:pPr>
          </w:p>
          <w:p w14:paraId="544A953B" w14:textId="77777777" w:rsidR="00A812B3" w:rsidRDefault="00A812B3">
            <w:pPr>
              <w:pStyle w:val="BodyText"/>
              <w:jc w:val="center"/>
            </w:pPr>
            <w:r>
              <w:t xml:space="preserve">Page </w:t>
            </w:r>
          </w:p>
          <w:p w14:paraId="4C4BD232" w14:textId="77777777" w:rsidR="00A812B3" w:rsidRDefault="00A812B3">
            <w:pPr>
              <w:pStyle w:val="BodyText"/>
              <w:jc w:val="center"/>
            </w:pPr>
            <w:r>
              <w:t>number</w:t>
            </w:r>
          </w:p>
          <w:p w14:paraId="13CBB93C" w14:textId="77777777" w:rsidR="00A812B3" w:rsidRDefault="00A812B3">
            <w:pPr>
              <w:jc w:val="center"/>
              <w:rPr>
                <w:b/>
                <w:bCs/>
              </w:rPr>
            </w:pPr>
          </w:p>
          <w:p w14:paraId="098DE9F3"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2454B6C4" w14:textId="77777777" w:rsidR="00A812B3" w:rsidRDefault="00A812B3">
            <w:pPr>
              <w:pStyle w:val="Heading1"/>
              <w:jc w:val="center"/>
            </w:pPr>
          </w:p>
          <w:p w14:paraId="60F44C7A" w14:textId="77777777" w:rsidR="00A812B3" w:rsidRDefault="00A812B3" w:rsidP="00A812B3"/>
          <w:p w14:paraId="1726C4E8" w14:textId="77777777" w:rsidR="00A812B3" w:rsidRDefault="002F0372" w:rsidP="00A812B3">
            <w:pPr>
              <w:jc w:val="center"/>
              <w:rPr>
                <w:b/>
              </w:rPr>
            </w:pPr>
            <w:r>
              <w:rPr>
                <w:b/>
              </w:rPr>
              <w:t>Line</w:t>
            </w:r>
          </w:p>
          <w:p w14:paraId="455CB0ED" w14:textId="77777777" w:rsidR="00A812B3" w:rsidRDefault="00A812B3" w:rsidP="00A812B3">
            <w:pPr>
              <w:jc w:val="center"/>
              <w:rPr>
                <w:b/>
              </w:rPr>
            </w:pPr>
            <w:r w:rsidRPr="00A812B3">
              <w:rPr>
                <w:b/>
              </w:rPr>
              <w:t>number</w:t>
            </w:r>
          </w:p>
          <w:p w14:paraId="0FFC5A3A" w14:textId="77777777" w:rsidR="00A812B3" w:rsidRDefault="00A812B3" w:rsidP="00A812B3">
            <w:pPr>
              <w:jc w:val="center"/>
              <w:rPr>
                <w:b/>
              </w:rPr>
            </w:pPr>
          </w:p>
          <w:p w14:paraId="5F1E2CA6"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23A3C462" w14:textId="77777777" w:rsidR="00A812B3" w:rsidRDefault="00A812B3">
            <w:pPr>
              <w:pStyle w:val="Heading1"/>
              <w:jc w:val="center"/>
            </w:pPr>
          </w:p>
          <w:p w14:paraId="5CB1A28A" w14:textId="77777777" w:rsidR="00A812B3" w:rsidRDefault="00A812B3">
            <w:pPr>
              <w:pStyle w:val="Heading1"/>
              <w:jc w:val="center"/>
              <w:rPr>
                <w:sz w:val="24"/>
              </w:rPr>
            </w:pPr>
            <w:r>
              <w:rPr>
                <w:sz w:val="24"/>
              </w:rPr>
              <w:t>Comments</w:t>
            </w:r>
          </w:p>
          <w:p w14:paraId="25B57827" w14:textId="77777777" w:rsidR="00A812B3" w:rsidRDefault="00A812B3">
            <w:pPr>
              <w:rPr>
                <w:sz w:val="24"/>
              </w:rPr>
            </w:pPr>
          </w:p>
          <w:p w14:paraId="3DCF38D9" w14:textId="77777777" w:rsidR="00A812B3" w:rsidRDefault="00C97473">
            <w:pPr>
              <w:jc w:val="center"/>
              <w:rPr>
                <w:sz w:val="24"/>
              </w:rPr>
            </w:pPr>
            <w:r>
              <w:rPr>
                <w:sz w:val="24"/>
              </w:rPr>
              <w:t>I</w:t>
            </w:r>
            <w:r w:rsidR="00A812B3">
              <w:rPr>
                <w:sz w:val="24"/>
              </w:rPr>
              <w:t>nsert each comment in a new row.</w:t>
            </w:r>
          </w:p>
          <w:p w14:paraId="51C4BE03" w14:textId="77777777" w:rsidR="00A812B3" w:rsidRDefault="00A812B3">
            <w:pPr>
              <w:jc w:val="center"/>
              <w:rPr>
                <w:sz w:val="24"/>
              </w:rPr>
            </w:pPr>
          </w:p>
          <w:p w14:paraId="03BA697C"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632A3C31" w14:textId="77777777" w:rsidTr="0089231B">
        <w:trPr>
          <w:cantSplit/>
          <w:trHeight w:val="330"/>
        </w:trPr>
        <w:tc>
          <w:tcPr>
            <w:tcW w:w="1804" w:type="dxa"/>
            <w:tcBorders>
              <w:top w:val="single" w:sz="4" w:space="0" w:color="auto"/>
            </w:tcBorders>
          </w:tcPr>
          <w:p w14:paraId="00B5E0D6"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5C7F1748"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12ACFF13" w14:textId="77777777" w:rsidR="00A812B3" w:rsidRPr="00992358" w:rsidRDefault="000D4EA3">
            <w:pPr>
              <w:rPr>
                <w:color w:val="FF0000"/>
                <w:sz w:val="20"/>
              </w:rPr>
            </w:pPr>
            <w:r>
              <w:rPr>
                <w:color w:val="FF0000"/>
                <w:sz w:val="20"/>
              </w:rPr>
              <w:t>55</w:t>
            </w:r>
          </w:p>
        </w:tc>
        <w:tc>
          <w:tcPr>
            <w:tcW w:w="8770" w:type="dxa"/>
            <w:tcBorders>
              <w:top w:val="single" w:sz="4" w:space="0" w:color="auto"/>
            </w:tcBorders>
          </w:tcPr>
          <w:p w14:paraId="11C239A5"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E2582E" w14:paraId="344F0EE4" w14:textId="77777777" w:rsidTr="0089231B">
        <w:trPr>
          <w:cantSplit/>
          <w:trHeight w:val="228"/>
        </w:trPr>
        <w:tc>
          <w:tcPr>
            <w:tcW w:w="1804" w:type="dxa"/>
            <w:tcBorders>
              <w:top w:val="single" w:sz="4" w:space="0" w:color="auto"/>
            </w:tcBorders>
          </w:tcPr>
          <w:p w14:paraId="01A04572" w14:textId="77777777" w:rsidR="00A812B3" w:rsidRPr="00E2582E" w:rsidRDefault="00A812B3" w:rsidP="0044012A">
            <w:pPr>
              <w:jc w:val="center"/>
              <w:rPr>
                <w:sz w:val="20"/>
              </w:rPr>
            </w:pPr>
            <w:r>
              <w:rPr>
                <w:sz w:val="20"/>
              </w:rPr>
              <w:lastRenderedPageBreak/>
              <w:t>1</w:t>
            </w:r>
          </w:p>
        </w:tc>
        <w:tc>
          <w:tcPr>
            <w:tcW w:w="1805" w:type="dxa"/>
            <w:tcBorders>
              <w:top w:val="single" w:sz="4" w:space="0" w:color="auto"/>
            </w:tcBorders>
          </w:tcPr>
          <w:p w14:paraId="7C94DBFC" w14:textId="6B016D67" w:rsidR="00A812B3" w:rsidRPr="005A45BD" w:rsidRDefault="00613F77" w:rsidP="00274768">
            <w:pPr>
              <w:rPr>
                <w:rFonts w:cs="Arial"/>
                <w:sz w:val="20"/>
              </w:rPr>
            </w:pPr>
            <w:r>
              <w:rPr>
                <w:rFonts w:cs="Arial"/>
                <w:sz w:val="20"/>
              </w:rPr>
              <w:t>General</w:t>
            </w:r>
          </w:p>
        </w:tc>
        <w:tc>
          <w:tcPr>
            <w:tcW w:w="1804" w:type="dxa"/>
            <w:tcBorders>
              <w:top w:val="single" w:sz="4" w:space="0" w:color="auto"/>
            </w:tcBorders>
          </w:tcPr>
          <w:p w14:paraId="75C84DE1" w14:textId="14CF9E64" w:rsidR="00A812B3" w:rsidRPr="005A45BD" w:rsidRDefault="00092E6F" w:rsidP="00274768">
            <w:pPr>
              <w:rPr>
                <w:rFonts w:cs="Arial"/>
                <w:sz w:val="20"/>
              </w:rPr>
            </w:pPr>
            <w:r>
              <w:rPr>
                <w:rFonts w:cs="Arial"/>
                <w:sz w:val="20"/>
              </w:rPr>
              <w:t>General</w:t>
            </w:r>
          </w:p>
        </w:tc>
        <w:tc>
          <w:tcPr>
            <w:tcW w:w="8770" w:type="dxa"/>
            <w:tcBorders>
              <w:top w:val="single" w:sz="4" w:space="0" w:color="auto"/>
            </w:tcBorders>
          </w:tcPr>
          <w:p w14:paraId="1D89A3CF" w14:textId="2729D8AF" w:rsidR="00343771" w:rsidRDefault="00A4341B" w:rsidP="00274768">
            <w:pPr>
              <w:rPr>
                <w:rFonts w:cs="Arial"/>
                <w:sz w:val="20"/>
              </w:rPr>
            </w:pPr>
            <w:r>
              <w:rPr>
                <w:rFonts w:cs="Arial"/>
                <w:sz w:val="20"/>
              </w:rPr>
              <w:t xml:space="preserve">The FPM is concerned by the proposed revisions and the rationale provided for the work required. </w:t>
            </w:r>
            <w:r w:rsidR="00B36DF7" w:rsidRPr="00B36DF7">
              <w:rPr>
                <w:rFonts w:cs="Arial"/>
                <w:sz w:val="20"/>
              </w:rPr>
              <w:t>Whilst</w:t>
            </w:r>
            <w:r w:rsidR="006E45C1">
              <w:rPr>
                <w:rFonts w:cs="Arial"/>
                <w:sz w:val="20"/>
              </w:rPr>
              <w:t xml:space="preserve"> it</w:t>
            </w:r>
            <w:r w:rsidR="00B36DF7" w:rsidRPr="00B36DF7">
              <w:rPr>
                <w:rFonts w:cs="Arial"/>
                <w:sz w:val="20"/>
              </w:rPr>
              <w:t xml:space="preserve"> is common in other guidance such as CDC (US) and ERS to group pneumonias with a single</w:t>
            </w:r>
            <w:r w:rsidR="006E45C1">
              <w:rPr>
                <w:rFonts w:cs="Arial"/>
                <w:sz w:val="20"/>
              </w:rPr>
              <w:t>-</w:t>
            </w:r>
            <w:r w:rsidR="00B36DF7" w:rsidRPr="00B36DF7">
              <w:rPr>
                <w:rFonts w:cs="Arial"/>
                <w:sz w:val="20"/>
              </w:rPr>
              <w:t xml:space="preserve">entry portal from an epidemiological point of view, the definition of acute lower respiratory infections </w:t>
            </w:r>
            <w:r w:rsidR="00B36DF7">
              <w:rPr>
                <w:rFonts w:cs="Arial"/>
                <w:sz w:val="20"/>
              </w:rPr>
              <w:t xml:space="preserve">which may be part of the differential diagnosis of bacterial pneumonia </w:t>
            </w:r>
            <w:r w:rsidR="00B36DF7" w:rsidRPr="00B36DF7">
              <w:rPr>
                <w:rFonts w:cs="Arial"/>
                <w:sz w:val="20"/>
              </w:rPr>
              <w:t>include acute bronchitis and bronchiolitis</w:t>
            </w:r>
            <w:r w:rsidR="006E45C1">
              <w:rPr>
                <w:rFonts w:cs="Arial"/>
                <w:sz w:val="20"/>
              </w:rPr>
              <w:t>,</w:t>
            </w:r>
            <w:r w:rsidR="00F9155A">
              <w:rPr>
                <w:rFonts w:cs="Arial"/>
                <w:sz w:val="20"/>
              </w:rPr>
              <w:t xml:space="preserve"> which may be a result of various virus infections</w:t>
            </w:r>
            <w:r w:rsidR="00B36DF7" w:rsidRPr="00B36DF7">
              <w:rPr>
                <w:rFonts w:cs="Arial"/>
                <w:sz w:val="20"/>
              </w:rPr>
              <w:t xml:space="preserve">.  </w:t>
            </w:r>
          </w:p>
          <w:p w14:paraId="65C00EFD" w14:textId="77777777" w:rsidR="00343771" w:rsidRDefault="00343771" w:rsidP="00274768">
            <w:pPr>
              <w:rPr>
                <w:rFonts w:cs="Arial"/>
                <w:sz w:val="20"/>
              </w:rPr>
            </w:pPr>
          </w:p>
          <w:p w14:paraId="28100FC0" w14:textId="337F53CB" w:rsidR="007F6775" w:rsidRDefault="00F9155A" w:rsidP="00274768">
            <w:pPr>
              <w:rPr>
                <w:rFonts w:cs="Arial"/>
                <w:sz w:val="20"/>
              </w:rPr>
            </w:pPr>
            <w:r>
              <w:rPr>
                <w:rFonts w:cs="Arial"/>
                <w:sz w:val="20"/>
              </w:rPr>
              <w:t>Th</w:t>
            </w:r>
            <w:r w:rsidR="006E45C1">
              <w:rPr>
                <w:rFonts w:cs="Arial"/>
                <w:sz w:val="20"/>
              </w:rPr>
              <w:t>us, the</w:t>
            </w:r>
            <w:r w:rsidR="00A4341B">
              <w:rPr>
                <w:rFonts w:cs="Arial"/>
                <w:sz w:val="20"/>
              </w:rPr>
              <w:t xml:space="preserve"> rationale </w:t>
            </w:r>
            <w:r>
              <w:rPr>
                <w:rFonts w:cs="Arial"/>
                <w:sz w:val="20"/>
              </w:rPr>
              <w:t xml:space="preserve">seems </w:t>
            </w:r>
            <w:r w:rsidR="00A4341B">
              <w:rPr>
                <w:rFonts w:cs="Arial"/>
                <w:sz w:val="20"/>
              </w:rPr>
              <w:t xml:space="preserve">inappropriate </w:t>
            </w:r>
            <w:r>
              <w:rPr>
                <w:rFonts w:cs="Arial"/>
                <w:sz w:val="20"/>
              </w:rPr>
              <w:t xml:space="preserve">to </w:t>
            </w:r>
            <w:r w:rsidR="00A4341B">
              <w:rPr>
                <w:rFonts w:cs="Arial"/>
                <w:sz w:val="20"/>
              </w:rPr>
              <w:t xml:space="preserve">limit </w:t>
            </w:r>
            <w:r>
              <w:rPr>
                <w:rFonts w:cs="Arial"/>
                <w:sz w:val="20"/>
              </w:rPr>
              <w:t xml:space="preserve">to </w:t>
            </w:r>
            <w:r w:rsidR="00A4341B">
              <w:rPr>
                <w:rFonts w:cs="Arial"/>
                <w:sz w:val="20"/>
              </w:rPr>
              <w:t>differences between SARS</w:t>
            </w:r>
            <w:r w:rsidR="006E45C1">
              <w:rPr>
                <w:rFonts w:cs="Arial"/>
                <w:sz w:val="20"/>
              </w:rPr>
              <w:t>-</w:t>
            </w:r>
            <w:r w:rsidR="00A4341B">
              <w:rPr>
                <w:rFonts w:cs="Arial"/>
                <w:sz w:val="20"/>
              </w:rPr>
              <w:t>CoV</w:t>
            </w:r>
            <w:r w:rsidR="006E45C1">
              <w:rPr>
                <w:rFonts w:cs="Arial"/>
                <w:sz w:val="20"/>
              </w:rPr>
              <w:t>-</w:t>
            </w:r>
            <w:r w:rsidR="00A4341B">
              <w:rPr>
                <w:rFonts w:cs="Arial"/>
                <w:sz w:val="20"/>
              </w:rPr>
              <w:t xml:space="preserve">2 infection and later pneumonitis, </w:t>
            </w:r>
            <w:r>
              <w:rPr>
                <w:rFonts w:cs="Arial"/>
                <w:sz w:val="20"/>
              </w:rPr>
              <w:t xml:space="preserve">and not including </w:t>
            </w:r>
            <w:r w:rsidR="00A4341B">
              <w:rPr>
                <w:rFonts w:cs="Arial"/>
                <w:sz w:val="20"/>
              </w:rPr>
              <w:t xml:space="preserve">the contribution of several other respiratory virus families </w:t>
            </w:r>
            <w:r w:rsidR="006E45C1">
              <w:rPr>
                <w:rFonts w:cs="Arial"/>
                <w:sz w:val="20"/>
              </w:rPr>
              <w:t>that</w:t>
            </w:r>
            <w:r w:rsidR="00A4341B">
              <w:rPr>
                <w:rFonts w:cs="Arial"/>
                <w:sz w:val="20"/>
              </w:rPr>
              <w:t xml:space="preserve"> are now resurging as the SARS</w:t>
            </w:r>
            <w:r w:rsidR="006E45C1">
              <w:rPr>
                <w:rFonts w:cs="Arial"/>
                <w:sz w:val="20"/>
              </w:rPr>
              <w:t>-</w:t>
            </w:r>
            <w:r w:rsidR="00A4341B">
              <w:rPr>
                <w:rFonts w:cs="Arial"/>
                <w:sz w:val="20"/>
              </w:rPr>
              <w:t>C</w:t>
            </w:r>
            <w:r w:rsidR="006E45C1">
              <w:rPr>
                <w:rFonts w:cs="Arial"/>
                <w:sz w:val="20"/>
              </w:rPr>
              <w:t>o</w:t>
            </w:r>
            <w:r w:rsidR="00A4341B">
              <w:rPr>
                <w:rFonts w:cs="Arial"/>
                <w:sz w:val="20"/>
              </w:rPr>
              <w:t>V</w:t>
            </w:r>
            <w:r w:rsidR="006E45C1">
              <w:rPr>
                <w:rFonts w:cs="Arial"/>
                <w:sz w:val="20"/>
              </w:rPr>
              <w:t>-</w:t>
            </w:r>
            <w:r w:rsidR="00A4341B">
              <w:rPr>
                <w:rFonts w:cs="Arial"/>
                <w:sz w:val="20"/>
              </w:rPr>
              <w:t>2 disease profile is changing.</w:t>
            </w:r>
          </w:p>
          <w:p w14:paraId="22E7D1F1" w14:textId="77777777" w:rsidR="007F6775" w:rsidRDefault="007F6775" w:rsidP="00274768">
            <w:pPr>
              <w:rPr>
                <w:rFonts w:cs="Arial"/>
                <w:sz w:val="20"/>
              </w:rPr>
            </w:pPr>
          </w:p>
          <w:p w14:paraId="6DD2FBA5" w14:textId="40A2E7A8" w:rsidR="007F6775" w:rsidRDefault="007F6775" w:rsidP="00274768">
            <w:pPr>
              <w:rPr>
                <w:rFonts w:cs="Arial"/>
                <w:sz w:val="20"/>
              </w:rPr>
            </w:pPr>
            <w:r>
              <w:rPr>
                <w:rFonts w:cs="Arial"/>
                <w:sz w:val="20"/>
              </w:rPr>
              <w:t>T</w:t>
            </w:r>
            <w:r w:rsidRPr="007F6775">
              <w:rPr>
                <w:rFonts w:cs="Arial"/>
                <w:sz w:val="20"/>
              </w:rPr>
              <w:t>he preamble incorrectly states that bacteria are the most common cause of pneumonia. In fact</w:t>
            </w:r>
            <w:r w:rsidR="00EB7651">
              <w:rPr>
                <w:rFonts w:cs="Arial"/>
                <w:sz w:val="20"/>
              </w:rPr>
              <w:t>,</w:t>
            </w:r>
            <w:r w:rsidRPr="007F6775">
              <w:rPr>
                <w:rFonts w:cs="Arial"/>
                <w:sz w:val="20"/>
              </w:rPr>
              <w:t xml:space="preserve"> multiple studies have demonstrated that viral pneumonia is at least as frequent, but </w:t>
            </w:r>
            <w:r w:rsidR="00EB7651">
              <w:rPr>
                <w:rFonts w:cs="Arial"/>
                <w:sz w:val="20"/>
              </w:rPr>
              <w:t xml:space="preserve">that it </w:t>
            </w:r>
            <w:r w:rsidRPr="007F6775">
              <w:rPr>
                <w:rFonts w:cs="Arial"/>
                <w:sz w:val="20"/>
              </w:rPr>
              <w:t>is not appropriately diagnosed and treated. This contributes to the inappropriate prescription of antibiotics, which do not relieve viral pneumonia</w:t>
            </w:r>
            <w:r>
              <w:rPr>
                <w:rFonts w:cs="Arial"/>
                <w:sz w:val="20"/>
              </w:rPr>
              <w:t xml:space="preserve"> unless it has bacterial superinfection</w:t>
            </w:r>
            <w:r w:rsidRPr="007F6775">
              <w:rPr>
                <w:rFonts w:cs="Arial"/>
                <w:sz w:val="20"/>
              </w:rPr>
              <w:t>, contributing to extending antim</w:t>
            </w:r>
            <w:r>
              <w:rPr>
                <w:rFonts w:cs="Arial"/>
                <w:sz w:val="20"/>
              </w:rPr>
              <w:t xml:space="preserve">icrobial </w:t>
            </w:r>
            <w:r w:rsidRPr="007F6775">
              <w:rPr>
                <w:rFonts w:cs="Arial"/>
                <w:sz w:val="20"/>
              </w:rPr>
              <w:t xml:space="preserve">resistance. </w:t>
            </w:r>
          </w:p>
          <w:p w14:paraId="533F4EDC" w14:textId="77777777" w:rsidR="007F6775" w:rsidRDefault="007F6775" w:rsidP="00274768">
            <w:pPr>
              <w:rPr>
                <w:rFonts w:cs="Arial"/>
                <w:sz w:val="20"/>
              </w:rPr>
            </w:pPr>
          </w:p>
          <w:p w14:paraId="0458C2D9" w14:textId="7F56C337" w:rsidR="00343771" w:rsidRDefault="007F6775" w:rsidP="00274768">
            <w:pPr>
              <w:rPr>
                <w:rFonts w:cs="Arial"/>
                <w:sz w:val="20"/>
              </w:rPr>
            </w:pPr>
            <w:r>
              <w:rPr>
                <w:rFonts w:cs="Arial"/>
                <w:sz w:val="20"/>
              </w:rPr>
              <w:t>Whilst immunocompromised patients are excluded from the guidance</w:t>
            </w:r>
            <w:r w:rsidR="00EB7651">
              <w:rPr>
                <w:rFonts w:cs="Arial"/>
                <w:sz w:val="20"/>
              </w:rPr>
              <w:t>,</w:t>
            </w:r>
            <w:r w:rsidRPr="007F6775">
              <w:rPr>
                <w:rFonts w:cs="Arial"/>
                <w:sz w:val="20"/>
              </w:rPr>
              <w:t xml:space="preserve"> consideration</w:t>
            </w:r>
            <w:r>
              <w:rPr>
                <w:rFonts w:cs="Arial"/>
                <w:sz w:val="20"/>
              </w:rPr>
              <w:t xml:space="preserve"> might be given to </w:t>
            </w:r>
            <w:r w:rsidRPr="007F6775">
              <w:rPr>
                <w:rFonts w:cs="Arial"/>
                <w:sz w:val="20"/>
              </w:rPr>
              <w:t>pneumonia caused by fungal infections or opportunistic infections which are increasingly common among individuals living in poor quality, mould infested housing.</w:t>
            </w:r>
          </w:p>
          <w:p w14:paraId="60026F65" w14:textId="77777777" w:rsidR="00343771" w:rsidRDefault="00343771" w:rsidP="00274768">
            <w:pPr>
              <w:rPr>
                <w:rFonts w:cs="Arial"/>
                <w:sz w:val="20"/>
              </w:rPr>
            </w:pPr>
          </w:p>
          <w:p w14:paraId="30EA86CD" w14:textId="167C8970" w:rsidR="00A812B3" w:rsidRDefault="001869DA" w:rsidP="00F572DA">
            <w:pPr>
              <w:rPr>
                <w:rFonts w:cs="Arial"/>
                <w:sz w:val="20"/>
              </w:rPr>
            </w:pPr>
            <w:r>
              <w:rPr>
                <w:rFonts w:cs="Arial"/>
                <w:sz w:val="20"/>
              </w:rPr>
              <w:t xml:space="preserve">FPM urges NICE to </w:t>
            </w:r>
            <w:r w:rsidR="00F9155A">
              <w:rPr>
                <w:rFonts w:cs="Arial"/>
                <w:sz w:val="20"/>
              </w:rPr>
              <w:t xml:space="preserve">adapt </w:t>
            </w:r>
            <w:r>
              <w:rPr>
                <w:rFonts w:cs="Arial"/>
                <w:sz w:val="20"/>
              </w:rPr>
              <w:t xml:space="preserve">this scope of work and consider </w:t>
            </w:r>
            <w:r w:rsidR="00F9155A">
              <w:rPr>
                <w:rFonts w:cs="Arial"/>
                <w:sz w:val="20"/>
              </w:rPr>
              <w:t xml:space="preserve">working on </w:t>
            </w:r>
            <w:r>
              <w:rPr>
                <w:rFonts w:cs="Arial"/>
                <w:sz w:val="20"/>
              </w:rPr>
              <w:t>guidance for the diagnosis and management of lower respiratory tract infection</w:t>
            </w:r>
            <w:r w:rsidR="00F572DA">
              <w:rPr>
                <w:rFonts w:cs="Arial"/>
                <w:sz w:val="20"/>
              </w:rPr>
              <w:t xml:space="preserve"> and pneumonia in different populations, working with expert societies and practitioners to define the appropriate prevention, diagnosis and management strategies required in various patient types: a good example of the outputs that such an approach can result in can be found here: </w:t>
            </w:r>
            <w:hyperlink r:id="rId9" w:history="1">
              <w:r w:rsidR="00F572DA" w:rsidRPr="007369FA">
                <w:rPr>
                  <w:rStyle w:val="Hyperlink"/>
                  <w:rFonts w:cs="Arial"/>
                  <w:sz w:val="20"/>
                </w:rPr>
                <w:t>https://www.cdc.gov/pneumonia/management-prevention-guidelines.html</w:t>
              </w:r>
            </w:hyperlink>
            <w:r w:rsidR="00F572DA">
              <w:rPr>
                <w:rFonts w:cs="Arial"/>
                <w:sz w:val="20"/>
              </w:rPr>
              <w:t>. Indeed, the majority of this guidance would be equally applicable to practice in the UK.</w:t>
            </w:r>
          </w:p>
          <w:p w14:paraId="2060955F" w14:textId="19FD9930" w:rsidR="00F572DA" w:rsidRPr="005A45BD" w:rsidRDefault="00F572DA" w:rsidP="00F572DA">
            <w:pPr>
              <w:rPr>
                <w:rFonts w:cs="Arial"/>
                <w:sz w:val="20"/>
              </w:rPr>
            </w:pPr>
          </w:p>
        </w:tc>
      </w:tr>
      <w:tr w:rsidR="00A812B3" w:rsidRPr="00E2582E" w14:paraId="38CF29D9" w14:textId="77777777" w:rsidTr="0089231B">
        <w:trPr>
          <w:cantSplit/>
          <w:trHeight w:val="228"/>
        </w:trPr>
        <w:tc>
          <w:tcPr>
            <w:tcW w:w="1804" w:type="dxa"/>
            <w:tcBorders>
              <w:top w:val="single" w:sz="4" w:space="0" w:color="auto"/>
            </w:tcBorders>
          </w:tcPr>
          <w:p w14:paraId="57FB0F34" w14:textId="77777777" w:rsidR="00A812B3" w:rsidRPr="00E2582E" w:rsidRDefault="00A812B3" w:rsidP="0044012A">
            <w:pPr>
              <w:jc w:val="center"/>
              <w:rPr>
                <w:sz w:val="20"/>
              </w:rPr>
            </w:pPr>
            <w:r>
              <w:rPr>
                <w:sz w:val="20"/>
              </w:rPr>
              <w:lastRenderedPageBreak/>
              <w:t>2</w:t>
            </w:r>
          </w:p>
        </w:tc>
        <w:tc>
          <w:tcPr>
            <w:tcW w:w="1805" w:type="dxa"/>
            <w:tcBorders>
              <w:top w:val="single" w:sz="4" w:space="0" w:color="auto"/>
            </w:tcBorders>
          </w:tcPr>
          <w:p w14:paraId="55831794" w14:textId="3006D782" w:rsidR="00A812B3" w:rsidRPr="005A45BD" w:rsidRDefault="007F6775" w:rsidP="00274768">
            <w:pPr>
              <w:rPr>
                <w:rFonts w:cs="Arial"/>
                <w:sz w:val="20"/>
              </w:rPr>
            </w:pPr>
            <w:r>
              <w:rPr>
                <w:rFonts w:cs="Arial"/>
                <w:sz w:val="20"/>
              </w:rPr>
              <w:t>Section 3.1</w:t>
            </w:r>
          </w:p>
        </w:tc>
        <w:tc>
          <w:tcPr>
            <w:tcW w:w="1804" w:type="dxa"/>
            <w:tcBorders>
              <w:top w:val="single" w:sz="4" w:space="0" w:color="auto"/>
            </w:tcBorders>
          </w:tcPr>
          <w:p w14:paraId="212C72DE" w14:textId="11865B8A" w:rsidR="00A812B3" w:rsidRPr="005A45BD" w:rsidRDefault="007F6775" w:rsidP="00274768">
            <w:pPr>
              <w:rPr>
                <w:rFonts w:cs="Arial"/>
                <w:sz w:val="20"/>
              </w:rPr>
            </w:pPr>
            <w:r>
              <w:rPr>
                <w:rFonts w:cs="Arial"/>
                <w:sz w:val="20"/>
              </w:rPr>
              <w:t>3</w:t>
            </w:r>
          </w:p>
        </w:tc>
        <w:tc>
          <w:tcPr>
            <w:tcW w:w="8770" w:type="dxa"/>
            <w:tcBorders>
              <w:top w:val="single" w:sz="4" w:space="0" w:color="auto"/>
            </w:tcBorders>
          </w:tcPr>
          <w:p w14:paraId="79BD9543" w14:textId="77777777" w:rsidR="007F6775" w:rsidRDefault="007F6775" w:rsidP="00343771">
            <w:pPr>
              <w:rPr>
                <w:rFonts w:cs="Arial"/>
                <w:sz w:val="20"/>
              </w:rPr>
            </w:pPr>
            <w:r>
              <w:rPr>
                <w:rFonts w:cs="Arial"/>
                <w:sz w:val="20"/>
              </w:rPr>
              <w:t>Groups that will be covered</w:t>
            </w:r>
          </w:p>
          <w:p w14:paraId="12CC5F4C" w14:textId="77777777" w:rsidR="007F6775" w:rsidRDefault="007F6775" w:rsidP="00343771">
            <w:pPr>
              <w:rPr>
                <w:rFonts w:cs="Arial"/>
                <w:sz w:val="20"/>
              </w:rPr>
            </w:pPr>
          </w:p>
          <w:p w14:paraId="44AF3987" w14:textId="0B66695A" w:rsidR="0077777B" w:rsidRDefault="00343771" w:rsidP="00343771">
            <w:pPr>
              <w:rPr>
                <w:rFonts w:cs="Arial"/>
                <w:sz w:val="20"/>
              </w:rPr>
            </w:pPr>
            <w:r>
              <w:rPr>
                <w:rFonts w:cs="Arial"/>
                <w:sz w:val="20"/>
              </w:rPr>
              <w:t xml:space="preserve">The proposal to produce one guideline across individuals of all ages is </w:t>
            </w:r>
            <w:r w:rsidR="007F6775">
              <w:rPr>
                <w:rFonts w:cs="Arial"/>
                <w:sz w:val="20"/>
              </w:rPr>
              <w:t>almost impossible unless it is clearly sectioned</w:t>
            </w:r>
            <w:r w:rsidR="00F06E7A">
              <w:rPr>
                <w:rFonts w:cs="Arial"/>
                <w:sz w:val="20"/>
              </w:rPr>
              <w:t>,</w:t>
            </w:r>
            <w:r>
              <w:rPr>
                <w:rFonts w:cs="Arial"/>
                <w:sz w:val="20"/>
              </w:rPr>
              <w:t xml:space="preserve"> as the pattern of disease and organisms causing pneumonia in children differ from those in adults. </w:t>
            </w:r>
            <w:r w:rsidR="0077777B">
              <w:rPr>
                <w:rFonts w:cs="Arial"/>
                <w:sz w:val="20"/>
              </w:rPr>
              <w:t>Whilst the existing the three guidances proposed to be merged are separated for hospital acquired pneumonia</w:t>
            </w:r>
            <w:r w:rsidR="00F06E7A">
              <w:rPr>
                <w:rFonts w:cs="Arial"/>
                <w:sz w:val="20"/>
              </w:rPr>
              <w:t>,</w:t>
            </w:r>
            <w:r w:rsidR="0077777B">
              <w:rPr>
                <w:rFonts w:cs="Arial"/>
                <w:sz w:val="20"/>
              </w:rPr>
              <w:t xml:space="preserve"> </w:t>
            </w:r>
            <w:r>
              <w:rPr>
                <w:rFonts w:cs="Arial"/>
                <w:sz w:val="20"/>
              </w:rPr>
              <w:t xml:space="preserve">community acquired pneumonia </w:t>
            </w:r>
            <w:r w:rsidR="0077777B">
              <w:rPr>
                <w:rFonts w:cs="Arial"/>
                <w:sz w:val="20"/>
              </w:rPr>
              <w:t>and paediatric pneumonia</w:t>
            </w:r>
            <w:r w:rsidR="00F06E7A">
              <w:rPr>
                <w:rFonts w:cs="Arial"/>
                <w:sz w:val="20"/>
              </w:rPr>
              <w:t>, i</w:t>
            </w:r>
            <w:r w:rsidR="0077777B">
              <w:rPr>
                <w:rFonts w:cs="Arial"/>
                <w:sz w:val="20"/>
              </w:rPr>
              <w:t>t is not clear that this document will be sectioned in this way.</w:t>
            </w:r>
          </w:p>
          <w:p w14:paraId="2F8643C7" w14:textId="77777777" w:rsidR="0077777B" w:rsidRDefault="0077777B" w:rsidP="00343771">
            <w:pPr>
              <w:rPr>
                <w:rFonts w:cs="Arial"/>
                <w:sz w:val="20"/>
              </w:rPr>
            </w:pPr>
          </w:p>
          <w:p w14:paraId="7B668D71" w14:textId="49E176A0" w:rsidR="007F6775" w:rsidRDefault="00275DFD" w:rsidP="00343771">
            <w:pPr>
              <w:rPr>
                <w:rFonts w:cs="Arial"/>
                <w:sz w:val="20"/>
              </w:rPr>
            </w:pPr>
            <w:r>
              <w:rPr>
                <w:rFonts w:cs="Arial"/>
                <w:sz w:val="20"/>
              </w:rPr>
              <w:t xml:space="preserve">HAP </w:t>
            </w:r>
            <w:r w:rsidR="00343771">
              <w:rPr>
                <w:rFonts w:cs="Arial"/>
                <w:sz w:val="20"/>
              </w:rPr>
              <w:t>is more likely to be caused by multidrug resistant organisms and the preponderance of the latter differ</w:t>
            </w:r>
            <w:r w:rsidR="0077777B">
              <w:rPr>
                <w:rFonts w:cs="Arial"/>
                <w:sz w:val="20"/>
              </w:rPr>
              <w:t>s markedly</w:t>
            </w:r>
            <w:r w:rsidR="00343771">
              <w:rPr>
                <w:rFonts w:cs="Arial"/>
                <w:sz w:val="20"/>
              </w:rPr>
              <w:t xml:space="preserve"> between institutions, which requires local advice on the extent and nature of the MDDR organisms prevalent within the particular institution with relevant local antibiotic policies informed by expert infectious disease consultation. </w:t>
            </w:r>
          </w:p>
          <w:p w14:paraId="30E07073" w14:textId="77777777" w:rsidR="007F6775" w:rsidRDefault="007F6775" w:rsidP="00343771">
            <w:pPr>
              <w:rPr>
                <w:rFonts w:cs="Arial"/>
                <w:sz w:val="20"/>
              </w:rPr>
            </w:pPr>
          </w:p>
          <w:p w14:paraId="5F81CF56" w14:textId="77777777" w:rsidR="00343771" w:rsidRDefault="00343771" w:rsidP="00343771">
            <w:pPr>
              <w:rPr>
                <w:rFonts w:cs="Arial"/>
                <w:sz w:val="20"/>
              </w:rPr>
            </w:pPr>
          </w:p>
          <w:p w14:paraId="413F69EB" w14:textId="77777777" w:rsidR="00A812B3" w:rsidRPr="005A45BD" w:rsidRDefault="00A812B3" w:rsidP="00274768">
            <w:pPr>
              <w:rPr>
                <w:rFonts w:cs="Arial"/>
                <w:sz w:val="20"/>
              </w:rPr>
            </w:pPr>
          </w:p>
        </w:tc>
      </w:tr>
      <w:tr w:rsidR="00A812B3" w:rsidRPr="00E2582E" w14:paraId="05CBAD96" w14:textId="77777777" w:rsidTr="0089231B">
        <w:trPr>
          <w:cantSplit/>
          <w:trHeight w:val="228"/>
        </w:trPr>
        <w:tc>
          <w:tcPr>
            <w:tcW w:w="1804" w:type="dxa"/>
            <w:tcBorders>
              <w:top w:val="single" w:sz="4" w:space="0" w:color="auto"/>
            </w:tcBorders>
          </w:tcPr>
          <w:p w14:paraId="7E853CA0"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5873BB50" w14:textId="51F67FFE" w:rsidR="00A812B3" w:rsidRPr="005A45BD" w:rsidRDefault="00AE4A53" w:rsidP="00274768">
            <w:pPr>
              <w:rPr>
                <w:rFonts w:cs="Arial"/>
                <w:sz w:val="20"/>
              </w:rPr>
            </w:pPr>
            <w:r>
              <w:rPr>
                <w:rFonts w:cs="Arial"/>
                <w:sz w:val="20"/>
              </w:rPr>
              <w:t>4</w:t>
            </w:r>
          </w:p>
        </w:tc>
        <w:tc>
          <w:tcPr>
            <w:tcW w:w="1804" w:type="dxa"/>
            <w:tcBorders>
              <w:top w:val="single" w:sz="4" w:space="0" w:color="auto"/>
            </w:tcBorders>
          </w:tcPr>
          <w:p w14:paraId="6AE5C932" w14:textId="0F34F525" w:rsidR="00A812B3" w:rsidRPr="005A45BD" w:rsidRDefault="00AE4A53" w:rsidP="00274768">
            <w:pPr>
              <w:rPr>
                <w:rFonts w:cs="Arial"/>
                <w:sz w:val="20"/>
              </w:rPr>
            </w:pPr>
            <w:r>
              <w:rPr>
                <w:rFonts w:cs="Arial"/>
                <w:sz w:val="20"/>
              </w:rPr>
              <w:t>5</w:t>
            </w:r>
            <w:r w:rsidR="008A63B2">
              <w:rPr>
                <w:rFonts w:cs="Arial"/>
                <w:sz w:val="20"/>
              </w:rPr>
              <w:t>, 7</w:t>
            </w:r>
            <w:r>
              <w:rPr>
                <w:rFonts w:cs="Arial"/>
                <w:sz w:val="20"/>
              </w:rPr>
              <w:t xml:space="preserve"> and 10</w:t>
            </w:r>
          </w:p>
        </w:tc>
        <w:tc>
          <w:tcPr>
            <w:tcW w:w="8770" w:type="dxa"/>
            <w:tcBorders>
              <w:top w:val="single" w:sz="4" w:space="0" w:color="auto"/>
            </w:tcBorders>
          </w:tcPr>
          <w:p w14:paraId="0C647AE7" w14:textId="305F77A1" w:rsidR="00A812B3" w:rsidRPr="005A45BD" w:rsidRDefault="00AE4A53" w:rsidP="00274768">
            <w:pPr>
              <w:rPr>
                <w:rFonts w:cs="Arial"/>
                <w:sz w:val="20"/>
              </w:rPr>
            </w:pPr>
            <w:r>
              <w:rPr>
                <w:rFonts w:cs="Arial"/>
                <w:sz w:val="20"/>
              </w:rPr>
              <w:t xml:space="preserve">Diagnosis and severity </w:t>
            </w:r>
            <w:r w:rsidR="008A63B2">
              <w:rPr>
                <w:rFonts w:cs="Arial"/>
                <w:sz w:val="20"/>
              </w:rPr>
              <w:t xml:space="preserve">are important and </w:t>
            </w:r>
            <w:r>
              <w:rPr>
                <w:rFonts w:cs="Arial"/>
                <w:sz w:val="20"/>
              </w:rPr>
              <w:t>where to treat people in hospital</w:t>
            </w:r>
            <w:r w:rsidR="008A63B2">
              <w:rPr>
                <w:rFonts w:cs="Arial"/>
                <w:sz w:val="20"/>
              </w:rPr>
              <w:t xml:space="preserve">. Can there be consideration of remote consultations (which may take place with older </w:t>
            </w:r>
            <w:r w:rsidR="006A51D6">
              <w:rPr>
                <w:rFonts w:cs="Arial"/>
                <w:sz w:val="20"/>
              </w:rPr>
              <w:t xml:space="preserve">patients </w:t>
            </w:r>
            <w:r w:rsidR="008A63B2">
              <w:rPr>
                <w:rFonts w:cs="Arial"/>
                <w:sz w:val="20"/>
              </w:rPr>
              <w:t>or patients with comorbidity)? It is difficult to apply PSI and even CURB 65. CRP and PCT should be in context with clinical judgement. Neither works well in young adults who are increasingly hospitalised with influenza</w:t>
            </w:r>
            <w:r w:rsidR="006A51D6">
              <w:rPr>
                <w:rFonts w:cs="Arial"/>
                <w:sz w:val="20"/>
              </w:rPr>
              <w:t>.</w:t>
            </w:r>
          </w:p>
        </w:tc>
      </w:tr>
      <w:tr w:rsidR="00A812B3" w:rsidRPr="00E2582E" w14:paraId="5F205AAC" w14:textId="77777777" w:rsidTr="0089231B">
        <w:trPr>
          <w:cantSplit/>
          <w:trHeight w:val="228"/>
        </w:trPr>
        <w:tc>
          <w:tcPr>
            <w:tcW w:w="1804" w:type="dxa"/>
            <w:tcBorders>
              <w:top w:val="single" w:sz="4" w:space="0" w:color="auto"/>
            </w:tcBorders>
          </w:tcPr>
          <w:p w14:paraId="71CF19C6" w14:textId="283F8D62" w:rsidR="00A812B3" w:rsidRPr="00E2582E" w:rsidRDefault="00A812B3" w:rsidP="0044012A">
            <w:pPr>
              <w:jc w:val="center"/>
              <w:rPr>
                <w:sz w:val="20"/>
              </w:rPr>
            </w:pPr>
            <w:r>
              <w:rPr>
                <w:sz w:val="20"/>
              </w:rPr>
              <w:t>4</w:t>
            </w:r>
          </w:p>
        </w:tc>
        <w:tc>
          <w:tcPr>
            <w:tcW w:w="1805" w:type="dxa"/>
            <w:tcBorders>
              <w:top w:val="single" w:sz="4" w:space="0" w:color="auto"/>
            </w:tcBorders>
          </w:tcPr>
          <w:p w14:paraId="311CA94E" w14:textId="291F9DE1" w:rsidR="00A812B3" w:rsidRPr="00E2582E" w:rsidRDefault="008A63B2">
            <w:pPr>
              <w:rPr>
                <w:sz w:val="20"/>
              </w:rPr>
            </w:pPr>
            <w:r>
              <w:rPr>
                <w:sz w:val="20"/>
              </w:rPr>
              <w:t>4</w:t>
            </w:r>
          </w:p>
        </w:tc>
        <w:tc>
          <w:tcPr>
            <w:tcW w:w="1804" w:type="dxa"/>
            <w:tcBorders>
              <w:top w:val="single" w:sz="4" w:space="0" w:color="auto"/>
            </w:tcBorders>
          </w:tcPr>
          <w:p w14:paraId="3397F03A" w14:textId="6C5DCFF7" w:rsidR="00A812B3" w:rsidRPr="00E2582E" w:rsidRDefault="00EB34AE">
            <w:pPr>
              <w:rPr>
                <w:sz w:val="20"/>
              </w:rPr>
            </w:pPr>
            <w:r>
              <w:rPr>
                <w:sz w:val="20"/>
              </w:rPr>
              <w:t>5,7, 10</w:t>
            </w:r>
          </w:p>
        </w:tc>
        <w:tc>
          <w:tcPr>
            <w:tcW w:w="8770" w:type="dxa"/>
            <w:tcBorders>
              <w:top w:val="single" w:sz="4" w:space="0" w:color="auto"/>
            </w:tcBorders>
          </w:tcPr>
          <w:p w14:paraId="66E7A135" w14:textId="453B318B" w:rsidR="00A812B3" w:rsidRPr="00E2582E" w:rsidRDefault="00EB34AE">
            <w:pPr>
              <w:rPr>
                <w:sz w:val="20"/>
              </w:rPr>
            </w:pPr>
            <w:r>
              <w:rPr>
                <w:sz w:val="20"/>
              </w:rPr>
              <w:t>Can the</w:t>
            </w:r>
            <w:r w:rsidR="006A51D6">
              <w:rPr>
                <w:sz w:val="20"/>
              </w:rPr>
              <w:t xml:space="preserve">re </w:t>
            </w:r>
            <w:r>
              <w:rPr>
                <w:sz w:val="20"/>
              </w:rPr>
              <w:t>be some comments or referrals to determine the difference between asthma and COPD exacerbations and CAP. Some patients will have both</w:t>
            </w:r>
            <w:r w:rsidR="006A51D6">
              <w:rPr>
                <w:sz w:val="20"/>
              </w:rPr>
              <w:t>,</w:t>
            </w:r>
            <w:r>
              <w:rPr>
                <w:sz w:val="20"/>
              </w:rPr>
              <w:t xml:space="preserve"> with exacerbation triggered by viral CAP</w:t>
            </w:r>
            <w:r w:rsidR="006A51D6">
              <w:rPr>
                <w:sz w:val="20"/>
              </w:rPr>
              <w:t>. S</w:t>
            </w:r>
            <w:r>
              <w:rPr>
                <w:sz w:val="20"/>
              </w:rPr>
              <w:t xml:space="preserve">ome will </w:t>
            </w:r>
            <w:r w:rsidR="006A51D6">
              <w:rPr>
                <w:sz w:val="20"/>
              </w:rPr>
              <w:t xml:space="preserve">have a </w:t>
            </w:r>
            <w:r>
              <w:rPr>
                <w:sz w:val="20"/>
              </w:rPr>
              <w:t>bacterial element to exacerbations.</w:t>
            </w:r>
          </w:p>
        </w:tc>
      </w:tr>
      <w:tr w:rsidR="00A812B3" w:rsidRPr="00E2582E" w14:paraId="4CDA6DC8" w14:textId="77777777" w:rsidTr="0089231B">
        <w:trPr>
          <w:cantSplit/>
          <w:trHeight w:val="228"/>
        </w:trPr>
        <w:tc>
          <w:tcPr>
            <w:tcW w:w="1804" w:type="dxa"/>
            <w:tcBorders>
              <w:top w:val="single" w:sz="4" w:space="0" w:color="auto"/>
            </w:tcBorders>
          </w:tcPr>
          <w:p w14:paraId="77437251"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71857499" w14:textId="34CBB2DF" w:rsidR="00A812B3" w:rsidRPr="00E2582E" w:rsidRDefault="00EB34AE">
            <w:pPr>
              <w:rPr>
                <w:sz w:val="20"/>
              </w:rPr>
            </w:pPr>
            <w:r>
              <w:rPr>
                <w:sz w:val="20"/>
              </w:rPr>
              <w:t>4</w:t>
            </w:r>
          </w:p>
        </w:tc>
        <w:tc>
          <w:tcPr>
            <w:tcW w:w="1804" w:type="dxa"/>
            <w:tcBorders>
              <w:top w:val="single" w:sz="4" w:space="0" w:color="auto"/>
            </w:tcBorders>
          </w:tcPr>
          <w:p w14:paraId="27D7166F" w14:textId="06B527D9" w:rsidR="00A812B3" w:rsidRPr="00E2582E" w:rsidRDefault="00EB34AE">
            <w:pPr>
              <w:rPr>
                <w:sz w:val="20"/>
              </w:rPr>
            </w:pPr>
            <w:r>
              <w:rPr>
                <w:sz w:val="20"/>
              </w:rPr>
              <w:t>11</w:t>
            </w:r>
          </w:p>
        </w:tc>
        <w:tc>
          <w:tcPr>
            <w:tcW w:w="8770" w:type="dxa"/>
            <w:tcBorders>
              <w:top w:val="single" w:sz="4" w:space="0" w:color="auto"/>
            </w:tcBorders>
          </w:tcPr>
          <w:p w14:paraId="018455C1" w14:textId="2ED58B0E" w:rsidR="00A812B3" w:rsidRPr="00E2582E" w:rsidRDefault="00EB34AE">
            <w:pPr>
              <w:rPr>
                <w:sz w:val="20"/>
              </w:rPr>
            </w:pPr>
            <w:r w:rsidRPr="00EB34AE">
              <w:rPr>
                <w:sz w:val="20"/>
              </w:rPr>
              <w:t xml:space="preserve">In </w:t>
            </w:r>
            <w:r w:rsidR="00121EAA">
              <w:rPr>
                <w:sz w:val="20"/>
              </w:rPr>
              <w:t xml:space="preserve">the </w:t>
            </w:r>
            <w:r w:rsidRPr="00EB34AE">
              <w:rPr>
                <w:sz w:val="20"/>
              </w:rPr>
              <w:t xml:space="preserve">CAP section the diagnosis needs to deal with viral </w:t>
            </w:r>
            <w:r w:rsidR="00275DFD">
              <w:rPr>
                <w:sz w:val="20"/>
              </w:rPr>
              <w:t xml:space="preserve">only </w:t>
            </w:r>
            <w:r w:rsidRPr="00EB34AE">
              <w:rPr>
                <w:sz w:val="20"/>
              </w:rPr>
              <w:t>and those that progress to bacterial super infections</w:t>
            </w:r>
            <w:r w:rsidR="00121EAA">
              <w:rPr>
                <w:sz w:val="20"/>
              </w:rPr>
              <w:t>. R</w:t>
            </w:r>
            <w:r w:rsidRPr="00EB34AE">
              <w:rPr>
                <w:sz w:val="20"/>
              </w:rPr>
              <w:t>ecently</w:t>
            </w:r>
            <w:r w:rsidR="00121EAA">
              <w:rPr>
                <w:sz w:val="20"/>
              </w:rPr>
              <w:t>,</w:t>
            </w:r>
            <w:r w:rsidRPr="00EB34AE">
              <w:rPr>
                <w:sz w:val="20"/>
              </w:rPr>
              <w:t xml:space="preserve"> with RSV</w:t>
            </w:r>
            <w:r w:rsidR="00121EAA">
              <w:rPr>
                <w:sz w:val="20"/>
              </w:rPr>
              <w:t xml:space="preserve">, </w:t>
            </w:r>
            <w:r w:rsidRPr="00EB34AE">
              <w:rPr>
                <w:sz w:val="20"/>
              </w:rPr>
              <w:t>flu and COVID these superinfections are becoming more important.</w:t>
            </w:r>
          </w:p>
        </w:tc>
      </w:tr>
      <w:tr w:rsidR="00A812B3" w:rsidRPr="00E2582E" w14:paraId="2254A432" w14:textId="77777777" w:rsidTr="0089231B">
        <w:trPr>
          <w:cantSplit/>
          <w:trHeight w:val="228"/>
        </w:trPr>
        <w:tc>
          <w:tcPr>
            <w:tcW w:w="1804" w:type="dxa"/>
            <w:tcBorders>
              <w:top w:val="single" w:sz="4" w:space="0" w:color="auto"/>
            </w:tcBorders>
          </w:tcPr>
          <w:p w14:paraId="72B272FD"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42F23757" w14:textId="5A975A72" w:rsidR="00A812B3" w:rsidRPr="00E2582E" w:rsidRDefault="00EB34AE">
            <w:pPr>
              <w:rPr>
                <w:sz w:val="20"/>
              </w:rPr>
            </w:pPr>
            <w:r>
              <w:rPr>
                <w:sz w:val="20"/>
              </w:rPr>
              <w:t>4</w:t>
            </w:r>
          </w:p>
        </w:tc>
        <w:tc>
          <w:tcPr>
            <w:tcW w:w="1804" w:type="dxa"/>
            <w:tcBorders>
              <w:top w:val="single" w:sz="4" w:space="0" w:color="auto"/>
            </w:tcBorders>
          </w:tcPr>
          <w:p w14:paraId="6141DFF1" w14:textId="50DA1D00" w:rsidR="00A812B3" w:rsidRPr="00E2582E" w:rsidRDefault="00EB34AE">
            <w:pPr>
              <w:rPr>
                <w:sz w:val="20"/>
              </w:rPr>
            </w:pPr>
            <w:r>
              <w:rPr>
                <w:sz w:val="20"/>
              </w:rPr>
              <w:t>18</w:t>
            </w:r>
          </w:p>
        </w:tc>
        <w:tc>
          <w:tcPr>
            <w:tcW w:w="8770" w:type="dxa"/>
            <w:tcBorders>
              <w:top w:val="single" w:sz="4" w:space="0" w:color="auto"/>
            </w:tcBorders>
          </w:tcPr>
          <w:p w14:paraId="37390A80" w14:textId="58362EE4" w:rsidR="00A812B3" w:rsidRPr="00E2582E" w:rsidRDefault="00EB34AE">
            <w:pPr>
              <w:rPr>
                <w:sz w:val="20"/>
              </w:rPr>
            </w:pPr>
            <w:r w:rsidRPr="00EB34AE">
              <w:rPr>
                <w:sz w:val="20"/>
              </w:rPr>
              <w:t>CAP antibiotic treatment – something needs to be included regarding failed treatment and how and what to provide if antibiotic treatment is to be switched for immediate failure or failure within 3 days after stopping the course of antibiotics</w:t>
            </w:r>
            <w:r w:rsidR="00121EAA">
              <w:rPr>
                <w:sz w:val="20"/>
              </w:rPr>
              <w:t>.</w:t>
            </w:r>
          </w:p>
        </w:tc>
      </w:tr>
      <w:tr w:rsidR="00A812B3" w:rsidRPr="00E2582E" w14:paraId="00361D39" w14:textId="77777777" w:rsidTr="0089231B">
        <w:trPr>
          <w:cantSplit/>
          <w:trHeight w:val="228"/>
        </w:trPr>
        <w:tc>
          <w:tcPr>
            <w:tcW w:w="1804" w:type="dxa"/>
            <w:tcBorders>
              <w:top w:val="single" w:sz="4" w:space="0" w:color="auto"/>
            </w:tcBorders>
          </w:tcPr>
          <w:p w14:paraId="242BE7E2" w14:textId="77777777" w:rsidR="00A812B3" w:rsidRPr="00E2582E" w:rsidRDefault="00A812B3" w:rsidP="0044012A">
            <w:pPr>
              <w:jc w:val="center"/>
              <w:rPr>
                <w:sz w:val="20"/>
              </w:rPr>
            </w:pPr>
            <w:r>
              <w:rPr>
                <w:sz w:val="20"/>
              </w:rPr>
              <w:t>7</w:t>
            </w:r>
          </w:p>
        </w:tc>
        <w:tc>
          <w:tcPr>
            <w:tcW w:w="1805" w:type="dxa"/>
            <w:tcBorders>
              <w:top w:val="single" w:sz="4" w:space="0" w:color="auto"/>
            </w:tcBorders>
          </w:tcPr>
          <w:p w14:paraId="436B9B26" w14:textId="32434673" w:rsidR="00A812B3" w:rsidRPr="00E2582E" w:rsidRDefault="00EB34AE">
            <w:pPr>
              <w:rPr>
                <w:sz w:val="20"/>
              </w:rPr>
            </w:pPr>
            <w:r>
              <w:rPr>
                <w:sz w:val="20"/>
              </w:rPr>
              <w:t>4</w:t>
            </w:r>
          </w:p>
        </w:tc>
        <w:tc>
          <w:tcPr>
            <w:tcW w:w="1804" w:type="dxa"/>
            <w:tcBorders>
              <w:top w:val="single" w:sz="4" w:space="0" w:color="auto"/>
            </w:tcBorders>
          </w:tcPr>
          <w:p w14:paraId="122BD6AD" w14:textId="76AE94C9" w:rsidR="00A812B3" w:rsidRPr="00E2582E" w:rsidRDefault="00EB34AE">
            <w:pPr>
              <w:rPr>
                <w:sz w:val="20"/>
              </w:rPr>
            </w:pPr>
            <w:r>
              <w:rPr>
                <w:sz w:val="20"/>
              </w:rPr>
              <w:t>27, 28</w:t>
            </w:r>
          </w:p>
        </w:tc>
        <w:tc>
          <w:tcPr>
            <w:tcW w:w="8770" w:type="dxa"/>
            <w:tcBorders>
              <w:top w:val="single" w:sz="4" w:space="0" w:color="auto"/>
            </w:tcBorders>
          </w:tcPr>
          <w:p w14:paraId="36D76478" w14:textId="29446386" w:rsidR="00A812B3" w:rsidRPr="00E2582E" w:rsidRDefault="00EB34AE">
            <w:pPr>
              <w:rPr>
                <w:sz w:val="20"/>
              </w:rPr>
            </w:pPr>
            <w:r>
              <w:rPr>
                <w:sz w:val="20"/>
              </w:rPr>
              <w:t xml:space="preserve">HAP </w:t>
            </w:r>
            <w:r w:rsidR="00625DA8">
              <w:rPr>
                <w:sz w:val="20"/>
              </w:rPr>
              <w:t xml:space="preserve">needs </w:t>
            </w:r>
            <w:r>
              <w:rPr>
                <w:sz w:val="20"/>
              </w:rPr>
              <w:t xml:space="preserve">more elements of stewardship and needs both </w:t>
            </w:r>
            <w:r w:rsidR="00625DA8">
              <w:rPr>
                <w:sz w:val="20"/>
              </w:rPr>
              <w:t>more breadth of recommendations for antibiotics and guidance on not just IV oral switch but switch or de-escalation</w:t>
            </w:r>
            <w:r w:rsidR="00121EAA">
              <w:rPr>
                <w:sz w:val="20"/>
              </w:rPr>
              <w:t>. H</w:t>
            </w:r>
            <w:r w:rsidR="00625DA8">
              <w:rPr>
                <w:sz w:val="20"/>
              </w:rPr>
              <w:t xml:space="preserve">ow to deal with patients who develop HAP who are already on long term prophylaxis for example pip </w:t>
            </w:r>
            <w:proofErr w:type="spellStart"/>
            <w:r w:rsidR="00625DA8">
              <w:rPr>
                <w:sz w:val="20"/>
              </w:rPr>
              <w:t>tazo</w:t>
            </w:r>
            <w:proofErr w:type="spellEnd"/>
            <w:r w:rsidR="00121EAA">
              <w:rPr>
                <w:sz w:val="20"/>
              </w:rPr>
              <w:t xml:space="preserve"> also needs consideration</w:t>
            </w:r>
            <w:r w:rsidR="00625DA8">
              <w:rPr>
                <w:sz w:val="20"/>
              </w:rPr>
              <w:t xml:space="preserve">. It also needs </w:t>
            </w:r>
            <w:r w:rsidR="00092E6F">
              <w:rPr>
                <w:sz w:val="20"/>
              </w:rPr>
              <w:t>guidance for</w:t>
            </w:r>
            <w:r w:rsidR="00625DA8">
              <w:rPr>
                <w:sz w:val="20"/>
              </w:rPr>
              <w:t xml:space="preserve"> what to do when patients fail treatment.  </w:t>
            </w:r>
            <w:r>
              <w:rPr>
                <w:sz w:val="20"/>
              </w:rPr>
              <w:t xml:space="preserve"> </w:t>
            </w:r>
          </w:p>
        </w:tc>
      </w:tr>
      <w:tr w:rsidR="00A812B3" w:rsidRPr="00E2582E" w14:paraId="4A12A606" w14:textId="77777777" w:rsidTr="0089231B">
        <w:trPr>
          <w:cantSplit/>
          <w:trHeight w:val="228"/>
        </w:trPr>
        <w:tc>
          <w:tcPr>
            <w:tcW w:w="1804" w:type="dxa"/>
            <w:tcBorders>
              <w:top w:val="single" w:sz="4" w:space="0" w:color="auto"/>
            </w:tcBorders>
          </w:tcPr>
          <w:p w14:paraId="370BCE14"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5AED9BD9" w14:textId="6CF1C77B" w:rsidR="00A812B3" w:rsidRPr="00E2582E" w:rsidRDefault="00625DA8">
            <w:pPr>
              <w:rPr>
                <w:sz w:val="20"/>
              </w:rPr>
            </w:pPr>
            <w:r>
              <w:rPr>
                <w:sz w:val="20"/>
              </w:rPr>
              <w:t>4</w:t>
            </w:r>
          </w:p>
        </w:tc>
        <w:tc>
          <w:tcPr>
            <w:tcW w:w="1804" w:type="dxa"/>
            <w:tcBorders>
              <w:top w:val="single" w:sz="4" w:space="0" w:color="auto"/>
            </w:tcBorders>
          </w:tcPr>
          <w:p w14:paraId="6880C01A" w14:textId="1AD3B9C2" w:rsidR="00A812B3" w:rsidRPr="00E2582E" w:rsidRDefault="00625DA8">
            <w:pPr>
              <w:rPr>
                <w:sz w:val="20"/>
              </w:rPr>
            </w:pPr>
            <w:r>
              <w:rPr>
                <w:sz w:val="20"/>
              </w:rPr>
              <w:t xml:space="preserve">27, 28 </w:t>
            </w:r>
          </w:p>
        </w:tc>
        <w:tc>
          <w:tcPr>
            <w:tcW w:w="8770" w:type="dxa"/>
            <w:tcBorders>
              <w:top w:val="single" w:sz="4" w:space="0" w:color="auto"/>
            </w:tcBorders>
          </w:tcPr>
          <w:p w14:paraId="2E569158" w14:textId="2C240179" w:rsidR="00A812B3" w:rsidRPr="00E2582E" w:rsidRDefault="00625DA8">
            <w:pPr>
              <w:rPr>
                <w:sz w:val="20"/>
              </w:rPr>
            </w:pPr>
            <w:r>
              <w:rPr>
                <w:sz w:val="20"/>
              </w:rPr>
              <w:t xml:space="preserve">More elements of </w:t>
            </w:r>
            <w:r w:rsidR="00092E6F">
              <w:rPr>
                <w:sz w:val="20"/>
              </w:rPr>
              <w:t>‘</w:t>
            </w:r>
            <w:r w:rsidRPr="00625DA8">
              <w:rPr>
                <w:sz w:val="20"/>
              </w:rPr>
              <w:t>Start Smart - Then Focus</w:t>
            </w:r>
            <w:r w:rsidR="00092E6F">
              <w:rPr>
                <w:sz w:val="20"/>
              </w:rPr>
              <w:t>’</w:t>
            </w:r>
            <w:r>
              <w:rPr>
                <w:sz w:val="20"/>
              </w:rPr>
              <w:t xml:space="preserve"> should </w:t>
            </w:r>
            <w:r w:rsidR="00092E6F">
              <w:rPr>
                <w:sz w:val="20"/>
              </w:rPr>
              <w:t xml:space="preserve">be </w:t>
            </w:r>
            <w:r>
              <w:rPr>
                <w:sz w:val="20"/>
              </w:rPr>
              <w:t>included in th</w:t>
            </w:r>
            <w:r w:rsidR="00092E6F">
              <w:rPr>
                <w:sz w:val="20"/>
              </w:rPr>
              <w:t>e</w:t>
            </w:r>
            <w:r>
              <w:rPr>
                <w:sz w:val="20"/>
              </w:rPr>
              <w:t xml:space="preserve"> guideline</w:t>
            </w:r>
            <w:r w:rsidR="00092E6F">
              <w:rPr>
                <w:sz w:val="20"/>
              </w:rPr>
              <w:t>.</w:t>
            </w:r>
          </w:p>
        </w:tc>
      </w:tr>
      <w:tr w:rsidR="00A812B3" w:rsidRPr="00E2582E" w14:paraId="2526AB9A" w14:textId="77777777" w:rsidTr="0089231B">
        <w:trPr>
          <w:cantSplit/>
          <w:trHeight w:val="228"/>
        </w:trPr>
        <w:tc>
          <w:tcPr>
            <w:tcW w:w="1804" w:type="dxa"/>
            <w:tcBorders>
              <w:top w:val="single" w:sz="4" w:space="0" w:color="auto"/>
            </w:tcBorders>
          </w:tcPr>
          <w:p w14:paraId="487811D7"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415140E5" w14:textId="49D0EC1C" w:rsidR="00A812B3" w:rsidRPr="00E2582E" w:rsidRDefault="00625DA8">
            <w:pPr>
              <w:rPr>
                <w:sz w:val="20"/>
              </w:rPr>
            </w:pPr>
            <w:r>
              <w:rPr>
                <w:sz w:val="20"/>
              </w:rPr>
              <w:t>6</w:t>
            </w:r>
          </w:p>
        </w:tc>
        <w:tc>
          <w:tcPr>
            <w:tcW w:w="1804" w:type="dxa"/>
            <w:tcBorders>
              <w:top w:val="single" w:sz="4" w:space="0" w:color="auto"/>
            </w:tcBorders>
          </w:tcPr>
          <w:p w14:paraId="65335839" w14:textId="434DF3DE" w:rsidR="00A812B3" w:rsidRPr="00E2582E" w:rsidRDefault="00625DA8">
            <w:pPr>
              <w:rPr>
                <w:sz w:val="20"/>
              </w:rPr>
            </w:pPr>
            <w:r>
              <w:rPr>
                <w:sz w:val="20"/>
              </w:rPr>
              <w:t>HAP antibiotics</w:t>
            </w:r>
          </w:p>
        </w:tc>
        <w:tc>
          <w:tcPr>
            <w:tcW w:w="8770" w:type="dxa"/>
            <w:tcBorders>
              <w:top w:val="single" w:sz="4" w:space="0" w:color="auto"/>
            </w:tcBorders>
          </w:tcPr>
          <w:p w14:paraId="7DCC6409" w14:textId="7C593893" w:rsidR="00A812B3" w:rsidRPr="00E2582E" w:rsidRDefault="00625DA8">
            <w:pPr>
              <w:rPr>
                <w:sz w:val="20"/>
              </w:rPr>
            </w:pPr>
            <w:r>
              <w:rPr>
                <w:sz w:val="20"/>
              </w:rPr>
              <w:t>HAP antibiotics should be reviewed as there are changes in resistance patterns and MDDRs since the guideline was written – the clinical trial evidence for HAP is not the only driver</w:t>
            </w:r>
            <w:r w:rsidR="00092E6F">
              <w:rPr>
                <w:sz w:val="20"/>
              </w:rPr>
              <w:t>.</w:t>
            </w:r>
          </w:p>
        </w:tc>
      </w:tr>
      <w:tr w:rsidR="00A812B3" w:rsidRPr="00E2582E" w14:paraId="4612901A" w14:textId="77777777" w:rsidTr="0089231B">
        <w:trPr>
          <w:cantSplit/>
          <w:trHeight w:val="228"/>
        </w:trPr>
        <w:tc>
          <w:tcPr>
            <w:tcW w:w="1804" w:type="dxa"/>
            <w:tcBorders>
              <w:top w:val="single" w:sz="4" w:space="0" w:color="auto"/>
            </w:tcBorders>
          </w:tcPr>
          <w:p w14:paraId="5791F003"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14B17E5B" w14:textId="40CB7657" w:rsidR="00A812B3" w:rsidRPr="00E2582E" w:rsidRDefault="00921765">
            <w:pPr>
              <w:rPr>
                <w:sz w:val="20"/>
              </w:rPr>
            </w:pPr>
            <w:r>
              <w:rPr>
                <w:sz w:val="20"/>
              </w:rPr>
              <w:t>7</w:t>
            </w:r>
          </w:p>
        </w:tc>
        <w:tc>
          <w:tcPr>
            <w:tcW w:w="1804" w:type="dxa"/>
            <w:tcBorders>
              <w:top w:val="single" w:sz="4" w:space="0" w:color="auto"/>
            </w:tcBorders>
          </w:tcPr>
          <w:p w14:paraId="784925AC" w14:textId="019B6A67" w:rsidR="00A812B3" w:rsidRPr="00E2582E" w:rsidRDefault="00921765">
            <w:pPr>
              <w:rPr>
                <w:sz w:val="20"/>
              </w:rPr>
            </w:pPr>
            <w:r>
              <w:rPr>
                <w:sz w:val="20"/>
              </w:rPr>
              <w:t>Microbiological tests</w:t>
            </w:r>
          </w:p>
        </w:tc>
        <w:tc>
          <w:tcPr>
            <w:tcW w:w="8770" w:type="dxa"/>
            <w:tcBorders>
              <w:top w:val="single" w:sz="4" w:space="0" w:color="auto"/>
            </w:tcBorders>
          </w:tcPr>
          <w:p w14:paraId="293735AA" w14:textId="2AC76208" w:rsidR="00A812B3" w:rsidRPr="00E2582E" w:rsidRDefault="00092E6F">
            <w:pPr>
              <w:rPr>
                <w:sz w:val="20"/>
              </w:rPr>
            </w:pPr>
            <w:r>
              <w:rPr>
                <w:sz w:val="20"/>
              </w:rPr>
              <w:t>T</w:t>
            </w:r>
            <w:r w:rsidR="00921765">
              <w:rPr>
                <w:sz w:val="20"/>
              </w:rPr>
              <w:t>he limitation of microbiology when patients are already taking prophylactic antibiotics or are on antibiot</w:t>
            </w:r>
            <w:r>
              <w:rPr>
                <w:sz w:val="20"/>
              </w:rPr>
              <w:t>i</w:t>
            </w:r>
            <w:r w:rsidR="00921765">
              <w:rPr>
                <w:sz w:val="20"/>
              </w:rPr>
              <w:t>cs that have failed</w:t>
            </w:r>
            <w:r>
              <w:rPr>
                <w:sz w:val="20"/>
              </w:rPr>
              <w:t xml:space="preserve"> should be added.</w:t>
            </w:r>
          </w:p>
        </w:tc>
      </w:tr>
      <w:tr w:rsidR="00A812B3" w:rsidRPr="00E2582E" w14:paraId="42B63443" w14:textId="77777777" w:rsidTr="0089231B">
        <w:trPr>
          <w:cantSplit/>
          <w:trHeight w:val="228"/>
        </w:trPr>
        <w:tc>
          <w:tcPr>
            <w:tcW w:w="1804" w:type="dxa"/>
            <w:tcBorders>
              <w:top w:val="single" w:sz="4" w:space="0" w:color="auto"/>
            </w:tcBorders>
          </w:tcPr>
          <w:p w14:paraId="512F0B03"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14C65C91" w14:textId="278F25BA" w:rsidR="00A812B3" w:rsidRPr="00E2582E" w:rsidRDefault="00921765">
            <w:pPr>
              <w:rPr>
                <w:sz w:val="20"/>
              </w:rPr>
            </w:pPr>
            <w:r>
              <w:rPr>
                <w:sz w:val="20"/>
              </w:rPr>
              <w:t>7</w:t>
            </w:r>
          </w:p>
        </w:tc>
        <w:tc>
          <w:tcPr>
            <w:tcW w:w="1804" w:type="dxa"/>
            <w:tcBorders>
              <w:top w:val="single" w:sz="4" w:space="0" w:color="auto"/>
            </w:tcBorders>
          </w:tcPr>
          <w:p w14:paraId="18D9DE6D" w14:textId="46581CC8" w:rsidR="00A812B3" w:rsidRPr="00E2582E" w:rsidRDefault="00921765">
            <w:pPr>
              <w:rPr>
                <w:sz w:val="20"/>
              </w:rPr>
            </w:pPr>
            <w:r w:rsidRPr="00921765">
              <w:rPr>
                <w:sz w:val="20"/>
              </w:rPr>
              <w:t>Microbiological tests</w:t>
            </w:r>
          </w:p>
        </w:tc>
        <w:tc>
          <w:tcPr>
            <w:tcW w:w="8770" w:type="dxa"/>
            <w:tcBorders>
              <w:top w:val="single" w:sz="4" w:space="0" w:color="auto"/>
            </w:tcBorders>
          </w:tcPr>
          <w:p w14:paraId="7936B477" w14:textId="71187ECB" w:rsidR="00A812B3" w:rsidRPr="00E2582E" w:rsidRDefault="00092E6F">
            <w:pPr>
              <w:rPr>
                <w:sz w:val="20"/>
              </w:rPr>
            </w:pPr>
            <w:r>
              <w:rPr>
                <w:sz w:val="20"/>
              </w:rPr>
              <w:t>The l</w:t>
            </w:r>
            <w:r w:rsidR="00921765">
              <w:rPr>
                <w:sz w:val="20"/>
              </w:rPr>
              <w:t xml:space="preserve">imitations of obtaining specimens in HAP often a challenge due to inability to cough </w:t>
            </w:r>
            <w:r>
              <w:rPr>
                <w:sz w:val="20"/>
              </w:rPr>
              <w:t>also needs to</w:t>
            </w:r>
            <w:r w:rsidR="00921765">
              <w:rPr>
                <w:sz w:val="20"/>
              </w:rPr>
              <w:t xml:space="preserve"> be recognised</w:t>
            </w:r>
            <w:r>
              <w:rPr>
                <w:sz w:val="20"/>
              </w:rPr>
              <w:t>.</w:t>
            </w:r>
          </w:p>
        </w:tc>
      </w:tr>
      <w:tr w:rsidR="00A812B3" w:rsidRPr="00E2582E" w14:paraId="34604AF6" w14:textId="77777777" w:rsidTr="0089231B">
        <w:trPr>
          <w:cantSplit/>
          <w:trHeight w:val="228"/>
        </w:trPr>
        <w:tc>
          <w:tcPr>
            <w:tcW w:w="1804" w:type="dxa"/>
            <w:tcBorders>
              <w:top w:val="single" w:sz="4" w:space="0" w:color="auto"/>
            </w:tcBorders>
          </w:tcPr>
          <w:p w14:paraId="62FFD211" w14:textId="77777777" w:rsidR="00A812B3" w:rsidRPr="00E2582E" w:rsidRDefault="00A812B3" w:rsidP="0044012A">
            <w:pPr>
              <w:jc w:val="center"/>
              <w:rPr>
                <w:sz w:val="20"/>
              </w:rPr>
            </w:pPr>
            <w:r>
              <w:rPr>
                <w:sz w:val="20"/>
              </w:rPr>
              <w:lastRenderedPageBreak/>
              <w:t>12</w:t>
            </w:r>
          </w:p>
        </w:tc>
        <w:tc>
          <w:tcPr>
            <w:tcW w:w="1805" w:type="dxa"/>
            <w:tcBorders>
              <w:top w:val="single" w:sz="4" w:space="0" w:color="auto"/>
            </w:tcBorders>
          </w:tcPr>
          <w:p w14:paraId="0B2ACD51" w14:textId="5BA5C03D" w:rsidR="00A812B3" w:rsidRPr="00E2582E" w:rsidRDefault="00921765">
            <w:pPr>
              <w:rPr>
                <w:sz w:val="20"/>
              </w:rPr>
            </w:pPr>
            <w:r>
              <w:rPr>
                <w:sz w:val="20"/>
              </w:rPr>
              <w:t xml:space="preserve">9 </w:t>
            </w:r>
          </w:p>
        </w:tc>
        <w:tc>
          <w:tcPr>
            <w:tcW w:w="1804" w:type="dxa"/>
            <w:tcBorders>
              <w:top w:val="single" w:sz="4" w:space="0" w:color="auto"/>
            </w:tcBorders>
          </w:tcPr>
          <w:p w14:paraId="04134890" w14:textId="4D424DE6" w:rsidR="00A812B3" w:rsidRPr="00E2582E" w:rsidRDefault="00921765">
            <w:pPr>
              <w:rPr>
                <w:sz w:val="20"/>
              </w:rPr>
            </w:pPr>
            <w:r>
              <w:rPr>
                <w:sz w:val="20"/>
              </w:rPr>
              <w:t>21</w:t>
            </w:r>
          </w:p>
        </w:tc>
        <w:tc>
          <w:tcPr>
            <w:tcW w:w="8770" w:type="dxa"/>
            <w:tcBorders>
              <w:top w:val="single" w:sz="4" w:space="0" w:color="auto"/>
            </w:tcBorders>
          </w:tcPr>
          <w:p w14:paraId="72D36F43" w14:textId="6CE822D5" w:rsidR="00A812B3" w:rsidRPr="00E2582E" w:rsidRDefault="00921765">
            <w:pPr>
              <w:rPr>
                <w:sz w:val="20"/>
              </w:rPr>
            </w:pPr>
            <w:r>
              <w:rPr>
                <w:sz w:val="20"/>
              </w:rPr>
              <w:t>Make sure th</w:t>
            </w:r>
            <w:r w:rsidR="00092E6F">
              <w:rPr>
                <w:sz w:val="20"/>
              </w:rPr>
              <w:t>at</w:t>
            </w:r>
            <w:r>
              <w:rPr>
                <w:sz w:val="20"/>
              </w:rPr>
              <w:t xml:space="preserve"> all the different se</w:t>
            </w:r>
            <w:r w:rsidR="00275DFD">
              <w:rPr>
                <w:sz w:val="20"/>
              </w:rPr>
              <w:t>t</w:t>
            </w:r>
            <w:r>
              <w:rPr>
                <w:sz w:val="20"/>
              </w:rPr>
              <w:t>ting</w:t>
            </w:r>
            <w:r w:rsidR="00275DFD">
              <w:rPr>
                <w:sz w:val="20"/>
              </w:rPr>
              <w:t>s</w:t>
            </w:r>
            <w:r>
              <w:rPr>
                <w:sz w:val="20"/>
              </w:rPr>
              <w:t xml:space="preserve"> are considered including remote consultation. Use IDSA recent guidance form 2019 (CAP) and 2016 (HAP) on CDC web site</w:t>
            </w:r>
            <w:r w:rsidR="00092E6F">
              <w:rPr>
                <w:sz w:val="20"/>
              </w:rPr>
              <w:t>.</w:t>
            </w:r>
          </w:p>
        </w:tc>
      </w:tr>
      <w:tr w:rsidR="00A812B3" w:rsidRPr="00E2582E" w14:paraId="3EDB7D31" w14:textId="77777777" w:rsidTr="0089231B">
        <w:trPr>
          <w:cantSplit/>
          <w:trHeight w:val="228"/>
        </w:trPr>
        <w:tc>
          <w:tcPr>
            <w:tcW w:w="1804" w:type="dxa"/>
            <w:tcBorders>
              <w:top w:val="single" w:sz="4" w:space="0" w:color="auto"/>
            </w:tcBorders>
          </w:tcPr>
          <w:p w14:paraId="6D288F50"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480EE8FF" w14:textId="283377EE" w:rsidR="00A812B3" w:rsidRPr="00E2582E" w:rsidRDefault="00921765">
            <w:pPr>
              <w:rPr>
                <w:sz w:val="20"/>
              </w:rPr>
            </w:pPr>
            <w:r>
              <w:rPr>
                <w:sz w:val="20"/>
              </w:rPr>
              <w:t>12</w:t>
            </w:r>
          </w:p>
        </w:tc>
        <w:tc>
          <w:tcPr>
            <w:tcW w:w="1804" w:type="dxa"/>
            <w:tcBorders>
              <w:top w:val="single" w:sz="4" w:space="0" w:color="auto"/>
            </w:tcBorders>
          </w:tcPr>
          <w:p w14:paraId="7F0D5F11" w14:textId="598CAA8B" w:rsidR="00A812B3" w:rsidRPr="00E2582E" w:rsidRDefault="00921765">
            <w:pPr>
              <w:rPr>
                <w:sz w:val="20"/>
              </w:rPr>
            </w:pPr>
            <w:r>
              <w:rPr>
                <w:sz w:val="20"/>
              </w:rPr>
              <w:t>8</w:t>
            </w:r>
          </w:p>
        </w:tc>
        <w:tc>
          <w:tcPr>
            <w:tcW w:w="8770" w:type="dxa"/>
            <w:tcBorders>
              <w:top w:val="single" w:sz="4" w:space="0" w:color="auto"/>
            </w:tcBorders>
          </w:tcPr>
          <w:p w14:paraId="3F05069D" w14:textId="45A61D85" w:rsidR="00A812B3" w:rsidRPr="00E2582E" w:rsidRDefault="00921765">
            <w:pPr>
              <w:rPr>
                <w:sz w:val="20"/>
              </w:rPr>
            </w:pPr>
            <w:r>
              <w:rPr>
                <w:sz w:val="20"/>
              </w:rPr>
              <w:t xml:space="preserve">PROs are what clinical trials align to and for CAP treated in the community is the most important thing for patients especially those that have pneumonia </w:t>
            </w:r>
            <w:r w:rsidR="00A10640">
              <w:rPr>
                <w:sz w:val="20"/>
              </w:rPr>
              <w:t>more than once such as asthmatics</w:t>
            </w:r>
            <w:r w:rsidR="00092E6F">
              <w:rPr>
                <w:sz w:val="20"/>
              </w:rPr>
              <w:t>. C</w:t>
            </w:r>
            <w:r w:rsidR="00A10640">
              <w:rPr>
                <w:sz w:val="20"/>
              </w:rPr>
              <w:t>an the outcome be carefully split between CAP and HAP and paediatrics</w:t>
            </w:r>
            <w:r w:rsidR="00092E6F">
              <w:rPr>
                <w:sz w:val="20"/>
              </w:rPr>
              <w:t>?</w:t>
            </w:r>
          </w:p>
        </w:tc>
      </w:tr>
    </w:tbl>
    <w:p w14:paraId="5EDC534A" w14:textId="77777777" w:rsidR="00092E6F" w:rsidRDefault="00092E6F">
      <w:pPr>
        <w:rPr>
          <w:sz w:val="20"/>
        </w:rPr>
      </w:pPr>
    </w:p>
    <w:p w14:paraId="3AC64912" w14:textId="18ED3378" w:rsidR="001A1D8A" w:rsidRPr="00A71026" w:rsidRDefault="00676CE4">
      <w:pPr>
        <w:rPr>
          <w:sz w:val="20"/>
        </w:rPr>
      </w:pPr>
      <w:r w:rsidRPr="00A71026">
        <w:rPr>
          <w:sz w:val="20"/>
        </w:rPr>
        <w:t>Add extra rows if needed</w:t>
      </w:r>
    </w:p>
    <w:p w14:paraId="63EE0217" w14:textId="77777777" w:rsidR="00676CE4" w:rsidRDefault="00676CE4">
      <w:pPr>
        <w:rPr>
          <w:sz w:val="20"/>
        </w:rPr>
      </w:pPr>
    </w:p>
    <w:p w14:paraId="3CD3224B"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74C6B06B" w14:textId="77777777" w:rsidTr="0022485E">
        <w:tc>
          <w:tcPr>
            <w:tcW w:w="14312" w:type="dxa"/>
            <w:shd w:val="clear" w:color="auto" w:fill="auto"/>
          </w:tcPr>
          <w:p w14:paraId="0AD76D58" w14:textId="77777777" w:rsidR="00676CE4" w:rsidRPr="00BA770A" w:rsidRDefault="00676CE4" w:rsidP="00676CE4">
            <w:pPr>
              <w:rPr>
                <w:b/>
                <w:sz w:val="24"/>
                <w:szCs w:val="24"/>
              </w:rPr>
            </w:pPr>
            <w:r w:rsidRPr="00BA770A">
              <w:rPr>
                <w:b/>
                <w:sz w:val="24"/>
                <w:szCs w:val="24"/>
              </w:rPr>
              <w:t>Checklist for submitting comments</w:t>
            </w:r>
          </w:p>
          <w:p w14:paraId="058A7122"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2B22E69E"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74F5F6E3"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B0D6B36"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6CD6BD1F"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05224B8C"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0FB8E1F3"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42C0E192"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7C9A8403"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4EC76F75"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540BCBD2"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63971BD7" w14:textId="77777777" w:rsidR="00A71026" w:rsidRPr="00A71026" w:rsidRDefault="00A71026" w:rsidP="00676CE4">
            <w:pPr>
              <w:rPr>
                <w:sz w:val="24"/>
                <w:szCs w:val="24"/>
              </w:rPr>
            </w:pPr>
          </w:p>
          <w:p w14:paraId="3713FE2B"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50A8327"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4F56263D" w14:textId="77777777" w:rsidR="0022485E" w:rsidRDefault="0022485E" w:rsidP="00A71026">
            <w:pPr>
              <w:rPr>
                <w:rFonts w:cs="Arial"/>
                <w:bCs/>
                <w:sz w:val="24"/>
                <w:szCs w:val="24"/>
              </w:rPr>
            </w:pPr>
          </w:p>
          <w:p w14:paraId="3705DF68"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lastRenderedPageBreak/>
              <w:t>Data protection</w:t>
            </w:r>
          </w:p>
          <w:p w14:paraId="77586C2C"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163ADA8F" w14:textId="77777777" w:rsidR="0022485E" w:rsidRPr="0022485E" w:rsidRDefault="0022485E" w:rsidP="0022485E">
            <w:pPr>
              <w:widowControl w:val="0"/>
              <w:spacing w:line="288" w:lineRule="atLeast"/>
              <w:outlineLvl w:val="3"/>
              <w:rPr>
                <w:rStyle w:val="Emphasis"/>
                <w:rFonts w:cs="Arial"/>
                <w:i w:val="0"/>
                <w:iCs w:val="0"/>
                <w:sz w:val="24"/>
                <w:szCs w:val="24"/>
              </w:rPr>
            </w:pPr>
          </w:p>
          <w:p w14:paraId="6ADF5C1D"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By submitting your data via this form you are confirming that you have read and understood this statement.</w:t>
            </w:r>
          </w:p>
          <w:p w14:paraId="15DDBF45" w14:textId="77777777" w:rsidR="0022485E" w:rsidRPr="0022485E" w:rsidRDefault="0022485E" w:rsidP="0022485E">
            <w:pPr>
              <w:widowControl w:val="0"/>
              <w:spacing w:line="288" w:lineRule="atLeast"/>
              <w:outlineLvl w:val="3"/>
              <w:rPr>
                <w:rStyle w:val="Emphasis"/>
                <w:rFonts w:cs="Arial"/>
                <w:i w:val="0"/>
                <w:iCs w:val="0"/>
                <w:sz w:val="24"/>
              </w:rPr>
            </w:pPr>
          </w:p>
          <w:p w14:paraId="76FF81EB"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10" w:history="1">
              <w:r w:rsidRPr="0022485E">
                <w:rPr>
                  <w:rStyle w:val="Hyperlink"/>
                  <w:rFonts w:cs="Arial"/>
                  <w:bCs/>
                </w:rPr>
                <w:t>privacy notice</w:t>
              </w:r>
            </w:hyperlink>
            <w:r w:rsidRPr="0022485E">
              <w:rPr>
                <w:rFonts w:cs="Arial"/>
                <w:bCs/>
              </w:rPr>
              <w:t>.</w:t>
            </w:r>
          </w:p>
          <w:p w14:paraId="43281BFE" w14:textId="77777777" w:rsidR="0022485E" w:rsidRPr="009A4A5A" w:rsidRDefault="0022485E" w:rsidP="00A71026">
            <w:pPr>
              <w:rPr>
                <w:sz w:val="20"/>
              </w:rPr>
            </w:pPr>
          </w:p>
        </w:tc>
      </w:tr>
    </w:tbl>
    <w:p w14:paraId="056AEE36" w14:textId="77777777" w:rsidR="00676CE4" w:rsidRPr="00A71026" w:rsidRDefault="00676CE4">
      <w:pPr>
        <w:rPr>
          <w:sz w:val="20"/>
        </w:rPr>
      </w:pPr>
    </w:p>
    <w:p w14:paraId="72415279" w14:textId="77777777" w:rsidR="00676CE4" w:rsidRPr="00E66C63" w:rsidRDefault="00676CE4">
      <w:pPr>
        <w:rPr>
          <w:b/>
          <w:sz w:val="24"/>
          <w:szCs w:val="24"/>
        </w:rPr>
      </w:pPr>
    </w:p>
    <w:sectPr w:rsidR="00676CE4" w:rsidRPr="00E66C63" w:rsidSect="00291821">
      <w:footerReference w:type="default" r:id="rId11"/>
      <w:headerReference w:type="first" r:id="rId12"/>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8314" w14:textId="77777777" w:rsidR="00B67205" w:rsidRDefault="00B67205" w:rsidP="00E66C63">
      <w:r>
        <w:separator/>
      </w:r>
    </w:p>
  </w:endnote>
  <w:endnote w:type="continuationSeparator" w:id="0">
    <w:p w14:paraId="03F86313" w14:textId="77777777" w:rsidR="00B67205" w:rsidRDefault="00B67205" w:rsidP="00E66C63">
      <w:r>
        <w:continuationSeparator/>
      </w:r>
    </w:p>
  </w:endnote>
  <w:endnote w:type="continuationNotice" w:id="1">
    <w:p w14:paraId="19332299" w14:textId="77777777" w:rsidR="00B67205" w:rsidRDefault="00B67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EE8C" w14:textId="77777777" w:rsidR="00EE477E" w:rsidRDefault="00EE477E" w:rsidP="00EE477E">
    <w:pPr>
      <w:rPr>
        <w:sz w:val="18"/>
      </w:rPr>
    </w:pPr>
    <w:r>
      <w:rPr>
        <w:sz w:val="18"/>
      </w:rPr>
      <w:t>Please add extra rows as needed</w:t>
    </w:r>
  </w:p>
  <w:p w14:paraId="38583FE9" w14:textId="77777777" w:rsidR="00EE477E" w:rsidRDefault="00EE477E" w:rsidP="00EE477E">
    <w:pPr>
      <w:tabs>
        <w:tab w:val="left" w:pos="5565"/>
      </w:tabs>
      <w:rPr>
        <w:sz w:val="18"/>
      </w:rPr>
    </w:pPr>
    <w:r>
      <w:rPr>
        <w:sz w:val="18"/>
      </w:rPr>
      <w:tab/>
    </w:r>
  </w:p>
  <w:p w14:paraId="2C989953" w14:textId="2289EEC7" w:rsidR="00E66C63" w:rsidRPr="00EE477E" w:rsidRDefault="00EE477E" w:rsidP="0022485E">
    <w:r>
      <w:rPr>
        <w:szCs w:val="22"/>
      </w:rPr>
      <w:t>Please return to:</w:t>
    </w:r>
    <w:r>
      <w:t xml:space="preserve"> </w:t>
    </w:r>
    <w:hyperlink r:id="rId1" w:history="1">
      <w:r w:rsidR="003A35B1" w:rsidRPr="00166C76">
        <w:rPr>
          <w:rStyle w:val="Hyperlink"/>
        </w:rPr>
        <w:t>pneumoniaupdate@nice.org.uk</w:t>
      </w:r>
    </w:hyperlink>
    <w:r w:rsidR="003A35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4832" w14:textId="77777777" w:rsidR="00B67205" w:rsidRDefault="00B67205" w:rsidP="00E66C63">
      <w:r>
        <w:separator/>
      </w:r>
    </w:p>
  </w:footnote>
  <w:footnote w:type="continuationSeparator" w:id="0">
    <w:p w14:paraId="14E3E909" w14:textId="77777777" w:rsidR="00B67205" w:rsidRDefault="00B67205" w:rsidP="00E66C63">
      <w:r>
        <w:continuationSeparator/>
      </w:r>
    </w:p>
  </w:footnote>
  <w:footnote w:type="continuationNotice" w:id="1">
    <w:p w14:paraId="090ADB25" w14:textId="77777777" w:rsidR="00B67205" w:rsidRDefault="00B672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6BE7" w14:textId="0AED7678" w:rsidR="00B94F71" w:rsidRDefault="003A35B1" w:rsidP="003A35B1">
    <w:pPr>
      <w:pStyle w:val="Heading3"/>
      <w:jc w:val="left"/>
      <w:rPr>
        <w:bCs w:val="0"/>
        <w:sz w:val="28"/>
        <w:szCs w:val="28"/>
      </w:rPr>
    </w:pPr>
    <w:r w:rsidRPr="003A35B1">
      <w:rPr>
        <w:bCs w:val="0"/>
        <w:sz w:val="28"/>
        <w:szCs w:val="28"/>
      </w:rPr>
      <w:t>Pneumonia in adults: diagnosis and management</w:t>
    </w:r>
    <w:r>
      <w:rPr>
        <w:bCs w:val="0"/>
        <w:sz w:val="28"/>
        <w:szCs w:val="28"/>
      </w:rPr>
      <w:t xml:space="preserve">                                </w:t>
    </w:r>
    <w:r w:rsidRPr="00E53E36">
      <w:rPr>
        <w:noProof/>
        <w:lang w:eastAsia="en-GB"/>
      </w:rPr>
      <w:drawing>
        <wp:inline distT="0" distB="0" distL="0" distR="0" wp14:anchorId="52E6A1AD" wp14:editId="74D539A5">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r>
      <w:rPr>
        <w:bCs w:val="0"/>
        <w:sz w:val="28"/>
        <w:szCs w:val="28"/>
      </w:rPr>
      <w:t xml:space="preserve">   </w:t>
    </w:r>
  </w:p>
  <w:p w14:paraId="63DE2AB3" w14:textId="5D799F32" w:rsidR="00B94F71" w:rsidRPr="00937F34" w:rsidRDefault="00B94F71" w:rsidP="00A71026">
    <w:pPr>
      <w:pStyle w:val="Header"/>
      <w:rPr>
        <w:b/>
        <w:bCs/>
      </w:rPr>
    </w:pPr>
  </w:p>
  <w:p w14:paraId="5D18EE31" w14:textId="096D4C33"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3A35B1">
      <w:rPr>
        <w:bCs/>
        <w:u w:val="single"/>
      </w:rPr>
      <w:t>30/11/2022</w:t>
    </w:r>
  </w:p>
  <w:p w14:paraId="2076AD7D" w14:textId="77777777" w:rsidR="00777433" w:rsidRDefault="00777433">
    <w:pPr>
      <w:pStyle w:val="Header"/>
      <w:rPr>
        <w:b/>
        <w:bCs/>
        <w:u w:val="single"/>
      </w:rPr>
    </w:pPr>
  </w:p>
  <w:p w14:paraId="03EA462B" w14:textId="17C42672"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3A35B1" w:rsidRPr="00166C76">
        <w:rPr>
          <w:rStyle w:val="Hyperlink"/>
          <w:bCs/>
        </w:rPr>
        <w:t>pneumoniaupdate@nice.org.uk</w:t>
      </w:r>
    </w:hyperlink>
    <w:r w:rsidR="003A35B1">
      <w:rPr>
        <w:bCs/>
        <w:u w:val="single"/>
      </w:rPr>
      <w:t xml:space="preserve"> </w:t>
    </w:r>
  </w:p>
  <w:p w14:paraId="4D92841C" w14:textId="7FF0B660"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6367813">
    <w:abstractNumId w:val="3"/>
  </w:num>
  <w:num w:numId="2" w16cid:durableId="1124930687">
    <w:abstractNumId w:val="7"/>
  </w:num>
  <w:num w:numId="3" w16cid:durableId="811021107">
    <w:abstractNumId w:val="5"/>
  </w:num>
  <w:num w:numId="4" w16cid:durableId="809981278">
    <w:abstractNumId w:val="4"/>
  </w:num>
  <w:num w:numId="5" w16cid:durableId="2144276445">
    <w:abstractNumId w:val="0"/>
  </w:num>
  <w:num w:numId="6" w16cid:durableId="1783646489">
    <w:abstractNumId w:val="2"/>
  </w:num>
  <w:num w:numId="7" w16cid:durableId="137306814">
    <w:abstractNumId w:val="1"/>
  </w:num>
  <w:num w:numId="8" w16cid:durableId="13462423">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C1"/>
    <w:rsid w:val="000431A5"/>
    <w:rsid w:val="00055695"/>
    <w:rsid w:val="00064B5F"/>
    <w:rsid w:val="0006754A"/>
    <w:rsid w:val="00072D10"/>
    <w:rsid w:val="00080388"/>
    <w:rsid w:val="00092E6F"/>
    <w:rsid w:val="00093436"/>
    <w:rsid w:val="000D4EA3"/>
    <w:rsid w:val="000D7B25"/>
    <w:rsid w:val="00111270"/>
    <w:rsid w:val="00121EAA"/>
    <w:rsid w:val="00123009"/>
    <w:rsid w:val="00150032"/>
    <w:rsid w:val="0015556A"/>
    <w:rsid w:val="0016536F"/>
    <w:rsid w:val="00184246"/>
    <w:rsid w:val="00186565"/>
    <w:rsid w:val="001869DA"/>
    <w:rsid w:val="00197F8A"/>
    <w:rsid w:val="001A1D8A"/>
    <w:rsid w:val="001B3A29"/>
    <w:rsid w:val="001D149C"/>
    <w:rsid w:val="001D36A9"/>
    <w:rsid w:val="001D435B"/>
    <w:rsid w:val="001F1201"/>
    <w:rsid w:val="001F52A7"/>
    <w:rsid w:val="0020118C"/>
    <w:rsid w:val="00215BC8"/>
    <w:rsid w:val="0022485E"/>
    <w:rsid w:val="002321A9"/>
    <w:rsid w:val="00241ECE"/>
    <w:rsid w:val="00254412"/>
    <w:rsid w:val="00260317"/>
    <w:rsid w:val="002606E0"/>
    <w:rsid w:val="00274768"/>
    <w:rsid w:val="00275DFD"/>
    <w:rsid w:val="00291821"/>
    <w:rsid w:val="00292BEB"/>
    <w:rsid w:val="00295611"/>
    <w:rsid w:val="002E1D30"/>
    <w:rsid w:val="002E3A84"/>
    <w:rsid w:val="002F0372"/>
    <w:rsid w:val="002F0BAA"/>
    <w:rsid w:val="00313896"/>
    <w:rsid w:val="00343771"/>
    <w:rsid w:val="003709A6"/>
    <w:rsid w:val="00370AC1"/>
    <w:rsid w:val="00376A05"/>
    <w:rsid w:val="003A35B1"/>
    <w:rsid w:val="003A7831"/>
    <w:rsid w:val="003C22B2"/>
    <w:rsid w:val="003E5312"/>
    <w:rsid w:val="00410DCD"/>
    <w:rsid w:val="004358E1"/>
    <w:rsid w:val="0044012A"/>
    <w:rsid w:val="00441F40"/>
    <w:rsid w:val="00445C1F"/>
    <w:rsid w:val="00447B7B"/>
    <w:rsid w:val="00467D9B"/>
    <w:rsid w:val="0048565B"/>
    <w:rsid w:val="004C2603"/>
    <w:rsid w:val="004D4F42"/>
    <w:rsid w:val="00520D49"/>
    <w:rsid w:val="00524764"/>
    <w:rsid w:val="0053265B"/>
    <w:rsid w:val="00563A3F"/>
    <w:rsid w:val="00573DCC"/>
    <w:rsid w:val="00577421"/>
    <w:rsid w:val="00581E8F"/>
    <w:rsid w:val="005B4404"/>
    <w:rsid w:val="005E29DF"/>
    <w:rsid w:val="006053F3"/>
    <w:rsid w:val="00613F77"/>
    <w:rsid w:val="00615426"/>
    <w:rsid w:val="00622B04"/>
    <w:rsid w:val="00625DA8"/>
    <w:rsid w:val="0063082B"/>
    <w:rsid w:val="00635FFB"/>
    <w:rsid w:val="00643AC4"/>
    <w:rsid w:val="00674BCA"/>
    <w:rsid w:val="006756D8"/>
    <w:rsid w:val="00676CE4"/>
    <w:rsid w:val="006777EA"/>
    <w:rsid w:val="006A51D6"/>
    <w:rsid w:val="006E45C1"/>
    <w:rsid w:val="006F43E2"/>
    <w:rsid w:val="007253AF"/>
    <w:rsid w:val="00747463"/>
    <w:rsid w:val="00751EC5"/>
    <w:rsid w:val="00772D5C"/>
    <w:rsid w:val="00773D5C"/>
    <w:rsid w:val="00777433"/>
    <w:rsid w:val="0077777B"/>
    <w:rsid w:val="00797887"/>
    <w:rsid w:val="007A5F7A"/>
    <w:rsid w:val="007B0448"/>
    <w:rsid w:val="007B74CB"/>
    <w:rsid w:val="007E6716"/>
    <w:rsid w:val="007F46FB"/>
    <w:rsid w:val="007F48B8"/>
    <w:rsid w:val="007F6775"/>
    <w:rsid w:val="00807517"/>
    <w:rsid w:val="00861041"/>
    <w:rsid w:val="0087502A"/>
    <w:rsid w:val="008855FD"/>
    <w:rsid w:val="0089231B"/>
    <w:rsid w:val="008A63B2"/>
    <w:rsid w:val="008C1751"/>
    <w:rsid w:val="008D7B9E"/>
    <w:rsid w:val="008E6E74"/>
    <w:rsid w:val="008F4F3D"/>
    <w:rsid w:val="008F7181"/>
    <w:rsid w:val="009119E3"/>
    <w:rsid w:val="00914F46"/>
    <w:rsid w:val="00921765"/>
    <w:rsid w:val="00944447"/>
    <w:rsid w:val="00966992"/>
    <w:rsid w:val="00970572"/>
    <w:rsid w:val="00982FA8"/>
    <w:rsid w:val="00992358"/>
    <w:rsid w:val="009A4A5A"/>
    <w:rsid w:val="009B04FE"/>
    <w:rsid w:val="009D3052"/>
    <w:rsid w:val="00A054D7"/>
    <w:rsid w:val="00A10640"/>
    <w:rsid w:val="00A31A54"/>
    <w:rsid w:val="00A31B42"/>
    <w:rsid w:val="00A4341B"/>
    <w:rsid w:val="00A45E86"/>
    <w:rsid w:val="00A71026"/>
    <w:rsid w:val="00A812B3"/>
    <w:rsid w:val="00A81964"/>
    <w:rsid w:val="00AA3AD7"/>
    <w:rsid w:val="00AA688C"/>
    <w:rsid w:val="00AB0DB5"/>
    <w:rsid w:val="00AD4CA3"/>
    <w:rsid w:val="00AE4A53"/>
    <w:rsid w:val="00AF78D8"/>
    <w:rsid w:val="00B070BA"/>
    <w:rsid w:val="00B07715"/>
    <w:rsid w:val="00B212E0"/>
    <w:rsid w:val="00B36DF7"/>
    <w:rsid w:val="00B45B8B"/>
    <w:rsid w:val="00B62438"/>
    <w:rsid w:val="00B67205"/>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67A92"/>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34AE"/>
    <w:rsid w:val="00EB630F"/>
    <w:rsid w:val="00EB7651"/>
    <w:rsid w:val="00EC500C"/>
    <w:rsid w:val="00EE477E"/>
    <w:rsid w:val="00EE581E"/>
    <w:rsid w:val="00EE7CD8"/>
    <w:rsid w:val="00EF30D0"/>
    <w:rsid w:val="00F06E7A"/>
    <w:rsid w:val="00F14F2E"/>
    <w:rsid w:val="00F36669"/>
    <w:rsid w:val="00F510F0"/>
    <w:rsid w:val="00F54E18"/>
    <w:rsid w:val="00F572DA"/>
    <w:rsid w:val="00F76F58"/>
    <w:rsid w:val="00F77282"/>
    <w:rsid w:val="00F77D19"/>
    <w:rsid w:val="00F86623"/>
    <w:rsid w:val="00F9155A"/>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E96CD"/>
  <w15:chartTrackingRefBased/>
  <w15:docId w15:val="{86D65F5D-9830-4A63-808E-AAAA239C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3A3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3514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cdc.gov/pneumonia/management-prevention-guidelines.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neumonia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neumonia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1553</Words>
  <Characters>8491</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10024</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Ben Cottam</cp:lastModifiedBy>
  <cp:revision>5</cp:revision>
  <cp:lastPrinted>2014-03-26T12:19:00Z</cp:lastPrinted>
  <dcterms:created xsi:type="dcterms:W3CDTF">2022-11-30T13:05:00Z</dcterms:created>
  <dcterms:modified xsi:type="dcterms:W3CDTF">2022-11-30T14:35:00Z</dcterms:modified>
</cp:coreProperties>
</file>