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EC698" w14:textId="48F9A584" w:rsidR="00B64F9F" w:rsidRPr="00F734AB" w:rsidRDefault="00B64F9F" w:rsidP="00521AFB">
      <w:pPr>
        <w:spacing w:after="120" w:line="240" w:lineRule="auto"/>
        <w:rPr>
          <w:rFonts w:eastAsia="Times New Roman" w:cstheme="minorHAnsi"/>
          <w:b/>
          <w:bCs/>
          <w:color w:val="2F5496" w:themeColor="accent1" w:themeShade="BF"/>
          <w:sz w:val="36"/>
          <w:szCs w:val="36"/>
          <w:lang w:eastAsia="en-GB"/>
        </w:rPr>
      </w:pPr>
      <w:r w:rsidRPr="00F734AB">
        <w:rPr>
          <w:rFonts w:eastAsia="Times New Roman" w:cstheme="minorHAnsi"/>
          <w:b/>
          <w:bCs/>
          <w:color w:val="2F5496" w:themeColor="accent1" w:themeShade="BF"/>
          <w:sz w:val="36"/>
          <w:szCs w:val="36"/>
          <w:lang w:eastAsia="en-GB"/>
        </w:rPr>
        <w:t>The Science and Technology Committee (Commons)</w:t>
      </w:r>
      <w:r w:rsidR="00F734AB" w:rsidRPr="00F734AB">
        <w:rPr>
          <w:rFonts w:eastAsia="Times New Roman" w:cstheme="minorHAnsi"/>
          <w:b/>
          <w:bCs/>
          <w:color w:val="2F5496" w:themeColor="accent1" w:themeShade="BF"/>
          <w:sz w:val="36"/>
          <w:szCs w:val="36"/>
          <w:lang w:eastAsia="en-GB"/>
        </w:rPr>
        <w:t xml:space="preserve"> </w:t>
      </w:r>
      <w:r w:rsidRPr="00F734AB">
        <w:rPr>
          <w:rFonts w:eastAsia="Times New Roman" w:cstheme="minorHAnsi"/>
          <w:b/>
          <w:bCs/>
          <w:color w:val="2F5496" w:themeColor="accent1" w:themeShade="BF"/>
          <w:sz w:val="36"/>
          <w:szCs w:val="36"/>
          <w:lang w:eastAsia="en-GB"/>
        </w:rPr>
        <w:t xml:space="preserve">Inquiry </w:t>
      </w:r>
    </w:p>
    <w:p w14:paraId="03B1CD16" w14:textId="6B659978" w:rsidR="00B64F9F" w:rsidRPr="00F5710E" w:rsidRDefault="00B64F9F" w:rsidP="00521AFB">
      <w:pPr>
        <w:spacing w:after="120" w:line="240" w:lineRule="auto"/>
        <w:rPr>
          <w:rFonts w:eastAsia="Times New Roman" w:cstheme="minorHAnsi"/>
          <w:b/>
          <w:bCs/>
          <w:sz w:val="28"/>
          <w:szCs w:val="28"/>
          <w:lang w:eastAsia="en-GB"/>
        </w:rPr>
      </w:pPr>
      <w:r w:rsidRPr="00F5710E">
        <w:rPr>
          <w:rFonts w:eastAsia="Times New Roman" w:cstheme="minorHAnsi"/>
          <w:b/>
          <w:bCs/>
          <w:sz w:val="28"/>
          <w:szCs w:val="28"/>
          <w:lang w:eastAsia="en-GB"/>
        </w:rPr>
        <w:t>UK Science, Research and Technology Capability and Influence in Global Disease Outbreaks</w:t>
      </w:r>
    </w:p>
    <w:p w14:paraId="33BD9225" w14:textId="18A00D7A" w:rsidR="00B64F9F" w:rsidRPr="00F5710E" w:rsidRDefault="00B64F9F" w:rsidP="00521AFB">
      <w:pPr>
        <w:spacing w:after="120" w:line="240" w:lineRule="auto"/>
        <w:rPr>
          <w:rFonts w:eastAsia="Times New Roman" w:cstheme="minorHAnsi"/>
          <w:b/>
          <w:bCs/>
          <w:color w:val="C00000"/>
          <w:sz w:val="28"/>
          <w:szCs w:val="28"/>
          <w:lang w:eastAsia="en-GB"/>
        </w:rPr>
      </w:pPr>
      <w:r w:rsidRPr="00F5710E">
        <w:rPr>
          <w:rFonts w:eastAsia="Times New Roman" w:cstheme="minorHAnsi"/>
          <w:b/>
          <w:bCs/>
          <w:color w:val="C00000"/>
          <w:sz w:val="28"/>
          <w:szCs w:val="28"/>
          <w:lang w:eastAsia="en-GB"/>
        </w:rPr>
        <w:t xml:space="preserve">The Faculty of Pharmaceutical </w:t>
      </w:r>
      <w:r w:rsidR="004C4E5E">
        <w:rPr>
          <w:rFonts w:eastAsia="Times New Roman" w:cstheme="minorHAnsi"/>
          <w:b/>
          <w:bCs/>
          <w:color w:val="C00000"/>
          <w:sz w:val="28"/>
          <w:szCs w:val="28"/>
          <w:lang w:eastAsia="en-GB"/>
        </w:rPr>
        <w:t>Medicine (FPM)</w:t>
      </w:r>
    </w:p>
    <w:p w14:paraId="0447199C" w14:textId="69235B12" w:rsidR="00B64F9F" w:rsidRDefault="00EC2761" w:rsidP="00EC2761">
      <w:pPr>
        <w:autoSpaceDE w:val="0"/>
        <w:autoSpaceDN w:val="0"/>
        <w:adjustRightInd w:val="0"/>
        <w:spacing w:after="0" w:line="240" w:lineRule="auto"/>
        <w:jc w:val="both"/>
        <w:rPr>
          <w:rFonts w:cstheme="minorHAnsi"/>
        </w:rPr>
      </w:pPr>
      <w:r w:rsidRPr="00521AFB">
        <w:rPr>
          <w:rFonts w:cstheme="minorHAnsi"/>
        </w:rPr>
        <w:t xml:space="preserve">The </w:t>
      </w:r>
      <w:r w:rsidR="00B64F9F" w:rsidRPr="00521AFB">
        <w:rPr>
          <w:rFonts w:cstheme="minorHAnsi"/>
        </w:rPr>
        <w:t>Faculty of</w:t>
      </w:r>
      <w:r w:rsidR="00891DE7" w:rsidRPr="00521AFB">
        <w:rPr>
          <w:rFonts w:cstheme="minorHAnsi"/>
        </w:rPr>
        <w:t xml:space="preserve"> </w:t>
      </w:r>
      <w:r w:rsidR="00B64F9F" w:rsidRPr="00521AFB">
        <w:rPr>
          <w:rFonts w:cstheme="minorHAnsi"/>
        </w:rPr>
        <w:t>Pharmaceutical Medicine (FPM)</w:t>
      </w:r>
      <w:r w:rsidR="00463A7E">
        <w:rPr>
          <w:rFonts w:cstheme="minorHAnsi"/>
        </w:rPr>
        <w:t xml:space="preserve">, founded </w:t>
      </w:r>
      <w:r w:rsidR="00B64F9F" w:rsidRPr="00521AFB">
        <w:rPr>
          <w:rFonts w:cstheme="minorHAnsi"/>
        </w:rPr>
        <w:t>in 1989</w:t>
      </w:r>
      <w:r w:rsidR="00377717">
        <w:rPr>
          <w:rFonts w:cstheme="minorHAnsi"/>
        </w:rPr>
        <w:t>,</w:t>
      </w:r>
      <w:r w:rsidRPr="00521AFB">
        <w:rPr>
          <w:rFonts w:cstheme="minorHAnsi"/>
        </w:rPr>
        <w:t xml:space="preserve"> </w:t>
      </w:r>
      <w:r w:rsidR="00463A7E">
        <w:rPr>
          <w:rFonts w:cstheme="minorHAnsi"/>
        </w:rPr>
        <w:t xml:space="preserve">represents </w:t>
      </w:r>
      <w:r w:rsidR="005F5E59" w:rsidRPr="00521AFB">
        <w:rPr>
          <w:rFonts w:cstheme="minorHAnsi"/>
        </w:rPr>
        <w:t xml:space="preserve">1500 </w:t>
      </w:r>
      <w:r w:rsidR="00463A7E">
        <w:rPr>
          <w:rFonts w:cstheme="minorHAnsi"/>
        </w:rPr>
        <w:t xml:space="preserve">pharmaceutical physicians working in the UK and internationally. </w:t>
      </w:r>
      <w:r w:rsidR="00463A7E" w:rsidRPr="00463A7E">
        <w:rPr>
          <w:rFonts w:cstheme="minorHAnsi"/>
        </w:rPr>
        <w:t xml:space="preserve">Our mission is to advance the science and practice of pharmaceutical medicine by working to develop and maintain </w:t>
      </w:r>
      <w:r w:rsidR="00A56AF2">
        <w:rPr>
          <w:rFonts w:cstheme="minorHAnsi"/>
        </w:rPr>
        <w:t xml:space="preserve">physician </w:t>
      </w:r>
      <w:r w:rsidR="00463A7E" w:rsidRPr="00463A7E">
        <w:rPr>
          <w:rFonts w:cstheme="minorHAnsi"/>
        </w:rPr>
        <w:t xml:space="preserve">competence, </w:t>
      </w:r>
      <w:r w:rsidR="0031002E" w:rsidRPr="00463A7E">
        <w:rPr>
          <w:rFonts w:cstheme="minorHAnsi"/>
        </w:rPr>
        <w:t>ethics,</w:t>
      </w:r>
      <w:r w:rsidR="00463A7E" w:rsidRPr="00463A7E">
        <w:rPr>
          <w:rFonts w:cstheme="minorHAnsi"/>
        </w:rPr>
        <w:t xml:space="preserve"> and integrity for the benefit of the public.</w:t>
      </w:r>
      <w:r w:rsidR="00377717">
        <w:rPr>
          <w:rFonts w:cstheme="minorHAnsi"/>
        </w:rPr>
        <w:t xml:space="preserve"> </w:t>
      </w:r>
      <w:r w:rsidR="00F005BB">
        <w:rPr>
          <w:rFonts w:cstheme="minorHAnsi"/>
        </w:rPr>
        <w:t xml:space="preserve">Our response </w:t>
      </w:r>
      <w:r w:rsidR="004A7F93">
        <w:rPr>
          <w:rFonts w:cstheme="minorHAnsi"/>
        </w:rPr>
        <w:t>to the enquiry is based on our members</w:t>
      </w:r>
      <w:r w:rsidR="008D2C08">
        <w:rPr>
          <w:rFonts w:cstheme="minorHAnsi"/>
        </w:rPr>
        <w:t>’</w:t>
      </w:r>
      <w:r w:rsidR="004A7F93">
        <w:rPr>
          <w:rFonts w:cstheme="minorHAnsi"/>
        </w:rPr>
        <w:t xml:space="preserve"> collective experience from involvement in COVID</w:t>
      </w:r>
      <w:r w:rsidR="00352915">
        <w:rPr>
          <w:rFonts w:cstheme="minorHAnsi"/>
        </w:rPr>
        <w:t>-</w:t>
      </w:r>
      <w:r w:rsidR="004A7F93">
        <w:rPr>
          <w:rFonts w:cstheme="minorHAnsi"/>
        </w:rPr>
        <w:t>19 activities</w:t>
      </w:r>
      <w:r w:rsidR="00890293">
        <w:rPr>
          <w:rFonts w:cstheme="minorHAnsi"/>
        </w:rPr>
        <w:t xml:space="preserve">. </w:t>
      </w:r>
    </w:p>
    <w:p w14:paraId="41D1136C" w14:textId="0CE2F46C" w:rsidR="00FC0ED3" w:rsidRDefault="00FC0ED3" w:rsidP="00EC2761">
      <w:pPr>
        <w:autoSpaceDE w:val="0"/>
        <w:autoSpaceDN w:val="0"/>
        <w:adjustRightInd w:val="0"/>
        <w:spacing w:after="0" w:line="240" w:lineRule="auto"/>
        <w:jc w:val="both"/>
        <w:rPr>
          <w:rFonts w:cstheme="minorHAnsi"/>
        </w:rPr>
      </w:pPr>
    </w:p>
    <w:p w14:paraId="10580123" w14:textId="69C82EB4" w:rsidR="00C74C7D" w:rsidRDefault="00CE77A7" w:rsidP="00FC0ED3">
      <w:pPr>
        <w:autoSpaceDE w:val="0"/>
        <w:autoSpaceDN w:val="0"/>
        <w:adjustRightInd w:val="0"/>
        <w:spacing w:after="0" w:line="240" w:lineRule="auto"/>
        <w:jc w:val="both"/>
        <w:rPr>
          <w:rFonts w:cstheme="minorHAnsi"/>
          <w:b/>
          <w:bCs/>
          <w:color w:val="C00000"/>
          <w:sz w:val="28"/>
          <w:szCs w:val="28"/>
        </w:rPr>
      </w:pPr>
      <w:r>
        <w:rPr>
          <w:rFonts w:cstheme="minorHAnsi"/>
          <w:b/>
          <w:bCs/>
          <w:color w:val="C00000"/>
          <w:sz w:val="28"/>
          <w:szCs w:val="28"/>
        </w:rPr>
        <w:t>Executive Summary</w:t>
      </w:r>
    </w:p>
    <w:p w14:paraId="3FB48F60" w14:textId="77777777" w:rsidR="007C5EE6" w:rsidRDefault="007C5EE6" w:rsidP="00FC0ED3">
      <w:pPr>
        <w:autoSpaceDE w:val="0"/>
        <w:autoSpaceDN w:val="0"/>
        <w:adjustRightInd w:val="0"/>
        <w:spacing w:after="0" w:line="240" w:lineRule="auto"/>
        <w:jc w:val="both"/>
        <w:rPr>
          <w:rFonts w:cstheme="minorHAnsi"/>
          <w:b/>
          <w:bCs/>
          <w:color w:val="C00000"/>
          <w:sz w:val="28"/>
          <w:szCs w:val="28"/>
        </w:rPr>
      </w:pPr>
    </w:p>
    <w:p w14:paraId="489A6B2F" w14:textId="66A7A1C6" w:rsidR="00987E6D" w:rsidRPr="00092303" w:rsidRDefault="005C7221" w:rsidP="00D159D6">
      <w:pPr>
        <w:pStyle w:val="ListParagraph"/>
        <w:numPr>
          <w:ilvl w:val="0"/>
          <w:numId w:val="11"/>
        </w:numPr>
        <w:autoSpaceDE w:val="0"/>
        <w:autoSpaceDN w:val="0"/>
        <w:adjustRightInd w:val="0"/>
        <w:spacing w:after="0" w:line="240" w:lineRule="auto"/>
        <w:jc w:val="both"/>
        <w:rPr>
          <w:rFonts w:cstheme="minorHAnsi"/>
          <w:u w:val="single"/>
        </w:rPr>
      </w:pPr>
      <w:r w:rsidRPr="00092303">
        <w:rPr>
          <w:rFonts w:cstheme="minorHAnsi"/>
        </w:rPr>
        <w:t xml:space="preserve">Vaccine development has embraced Pharmaceutical Industry, Academic and Government collaboration and focus on the whole supply chain in the case successful discovery of an effective one. There is a powerful case for international cooperation as the successful vaccines will be needed to ensure supply in both rich and poor countries. It is important that we build detailed safety follow up, especially if early population-based introduction is proposed. </w:t>
      </w:r>
      <w:r w:rsidR="00987E6D" w:rsidRPr="00092303">
        <w:rPr>
          <w:rFonts w:cstheme="minorHAnsi"/>
        </w:rPr>
        <w:t xml:space="preserve">The example we can draw upon when </w:t>
      </w:r>
      <w:r w:rsidR="00ED4C88" w:rsidRPr="00092303">
        <w:rPr>
          <w:rFonts w:cstheme="minorHAnsi"/>
        </w:rPr>
        <w:t>plann</w:t>
      </w:r>
      <w:r w:rsidR="00987E6D" w:rsidRPr="00092303">
        <w:rPr>
          <w:rFonts w:cstheme="minorHAnsi"/>
        </w:rPr>
        <w:t xml:space="preserve">ing </w:t>
      </w:r>
      <w:r w:rsidR="00ED4C88" w:rsidRPr="00092303">
        <w:rPr>
          <w:rFonts w:cstheme="minorHAnsi"/>
        </w:rPr>
        <w:t xml:space="preserve">for </w:t>
      </w:r>
      <w:r w:rsidR="00987E6D" w:rsidRPr="00092303">
        <w:rPr>
          <w:rFonts w:cstheme="minorHAnsi"/>
        </w:rPr>
        <w:t xml:space="preserve">future pandemics is the collaborative </w:t>
      </w:r>
      <w:r w:rsidR="008A59F3" w:rsidRPr="00092303">
        <w:rPr>
          <w:rFonts w:cstheme="minorHAnsi"/>
        </w:rPr>
        <w:t>eff</w:t>
      </w:r>
      <w:r w:rsidR="0039645C" w:rsidRPr="00092303">
        <w:rPr>
          <w:rFonts w:cstheme="minorHAnsi"/>
        </w:rPr>
        <w:t>orts</w:t>
      </w:r>
      <w:r w:rsidR="008A59F3" w:rsidRPr="00092303">
        <w:rPr>
          <w:rFonts w:cstheme="minorHAnsi"/>
        </w:rPr>
        <w:t xml:space="preserve"> for new vaccines. It speaks to establishing a </w:t>
      </w:r>
      <w:r w:rsidR="008A59F3" w:rsidRPr="00092303">
        <w:rPr>
          <w:rFonts w:cstheme="minorHAnsi"/>
          <w:b/>
          <w:bCs/>
        </w:rPr>
        <w:t>National Framework</w:t>
      </w:r>
      <w:r w:rsidR="008A59F3" w:rsidRPr="00092303">
        <w:rPr>
          <w:rFonts w:cstheme="minorHAnsi"/>
        </w:rPr>
        <w:t xml:space="preserve"> for development of not</w:t>
      </w:r>
      <w:r w:rsidR="00CE4FFA" w:rsidRPr="00092303">
        <w:rPr>
          <w:rFonts w:cstheme="minorHAnsi"/>
        </w:rPr>
        <w:t xml:space="preserve"> simply vaccines but </w:t>
      </w:r>
      <w:r w:rsidR="0039645C" w:rsidRPr="00092303">
        <w:rPr>
          <w:rFonts w:cstheme="minorHAnsi"/>
        </w:rPr>
        <w:t xml:space="preserve">also </w:t>
      </w:r>
      <w:r w:rsidR="00CE4FFA" w:rsidRPr="00092303">
        <w:rPr>
          <w:rFonts w:cstheme="minorHAnsi"/>
        </w:rPr>
        <w:t xml:space="preserve">for medicines, both new and </w:t>
      </w:r>
      <w:r w:rsidR="006F73A6" w:rsidRPr="00092303">
        <w:rPr>
          <w:rFonts w:cstheme="minorHAnsi"/>
        </w:rPr>
        <w:t xml:space="preserve">repurposed, </w:t>
      </w:r>
      <w:r w:rsidR="0039645C" w:rsidRPr="00092303">
        <w:rPr>
          <w:rFonts w:cstheme="minorHAnsi"/>
        </w:rPr>
        <w:t>and</w:t>
      </w:r>
      <w:r w:rsidR="006F73A6" w:rsidRPr="00092303">
        <w:rPr>
          <w:rFonts w:cstheme="minorHAnsi"/>
        </w:rPr>
        <w:t xml:space="preserve"> diagnostic</w:t>
      </w:r>
      <w:r w:rsidR="0039645C" w:rsidRPr="00092303">
        <w:rPr>
          <w:rFonts w:cstheme="minorHAnsi"/>
        </w:rPr>
        <w:t>s</w:t>
      </w:r>
      <w:r w:rsidR="006F73A6" w:rsidRPr="00092303">
        <w:rPr>
          <w:rFonts w:cstheme="minorHAnsi"/>
        </w:rPr>
        <w:t xml:space="preserve"> </w:t>
      </w:r>
      <w:r w:rsidR="0039645C" w:rsidRPr="00092303">
        <w:rPr>
          <w:rFonts w:cstheme="minorHAnsi"/>
        </w:rPr>
        <w:t>for pandemic use</w:t>
      </w:r>
      <w:r w:rsidR="00ED4C88" w:rsidRPr="00092303">
        <w:rPr>
          <w:rFonts w:cstheme="minorHAnsi"/>
        </w:rPr>
        <w:t xml:space="preserve">. </w:t>
      </w:r>
      <w:r w:rsidR="00D159D6" w:rsidRPr="00092303">
        <w:rPr>
          <w:rFonts w:cstheme="minorHAnsi"/>
        </w:rPr>
        <w:t>(</w:t>
      </w:r>
      <w:r w:rsidR="00D159D6" w:rsidRPr="00092303">
        <w:rPr>
          <w:rFonts w:cstheme="minorHAnsi"/>
          <w:b/>
          <w:bCs/>
        </w:rPr>
        <w:t>TOR item 2 &amp;5</w:t>
      </w:r>
      <w:r w:rsidR="00D159D6" w:rsidRPr="00092303">
        <w:rPr>
          <w:rFonts w:cstheme="minorHAnsi"/>
        </w:rPr>
        <w:t>)</w:t>
      </w:r>
    </w:p>
    <w:p w14:paraId="135A3731" w14:textId="0F070C18" w:rsidR="00EE0527" w:rsidRPr="00065781" w:rsidRDefault="007C5EE6" w:rsidP="00D00CCF">
      <w:pPr>
        <w:pStyle w:val="ListParagraph"/>
        <w:numPr>
          <w:ilvl w:val="0"/>
          <w:numId w:val="11"/>
        </w:numPr>
        <w:autoSpaceDE w:val="0"/>
        <w:autoSpaceDN w:val="0"/>
        <w:adjustRightInd w:val="0"/>
        <w:spacing w:after="0" w:line="240" w:lineRule="auto"/>
        <w:jc w:val="both"/>
        <w:rPr>
          <w:rFonts w:cstheme="minorHAnsi"/>
        </w:rPr>
      </w:pPr>
      <w:r w:rsidRPr="00FE1A20">
        <w:rPr>
          <w:rFonts w:cstheme="minorHAnsi"/>
        </w:rPr>
        <w:t xml:space="preserve">The </w:t>
      </w:r>
      <w:r w:rsidR="00695048" w:rsidRPr="00FE1A20">
        <w:rPr>
          <w:rFonts w:cstheme="minorHAnsi"/>
        </w:rPr>
        <w:t xml:space="preserve">UK </w:t>
      </w:r>
      <w:r w:rsidRPr="00FE1A20">
        <w:rPr>
          <w:rFonts w:cstheme="minorHAnsi"/>
        </w:rPr>
        <w:t xml:space="preserve">national effort to undertake clinical trials of new and repurposed medicines was hampered by a </w:t>
      </w:r>
      <w:r w:rsidR="00F77EA8" w:rsidRPr="00FE1A20">
        <w:rPr>
          <w:rFonts w:cstheme="minorHAnsi"/>
        </w:rPr>
        <w:t xml:space="preserve">having an opaque organisation which </w:t>
      </w:r>
      <w:r w:rsidR="0079588F" w:rsidRPr="00FE1A20">
        <w:rPr>
          <w:rFonts w:cstheme="minorHAnsi"/>
        </w:rPr>
        <w:t>failed to communicate</w:t>
      </w:r>
      <w:r w:rsidR="00334B0A" w:rsidRPr="00FE1A20">
        <w:rPr>
          <w:rFonts w:cstheme="minorHAnsi"/>
        </w:rPr>
        <w:t xml:space="preserve">. Such organisations should have </w:t>
      </w:r>
      <w:r w:rsidR="00FE2999">
        <w:rPr>
          <w:rFonts w:cstheme="minorHAnsi"/>
        </w:rPr>
        <w:t xml:space="preserve">published </w:t>
      </w:r>
      <w:r w:rsidR="00334B0A" w:rsidRPr="00FE1A20">
        <w:rPr>
          <w:rFonts w:cstheme="minorHAnsi"/>
        </w:rPr>
        <w:t xml:space="preserve">terms of references </w:t>
      </w:r>
      <w:r w:rsidR="00EE70B3">
        <w:rPr>
          <w:rFonts w:cstheme="minorHAnsi"/>
        </w:rPr>
        <w:t xml:space="preserve">with </w:t>
      </w:r>
      <w:r w:rsidR="001869C9" w:rsidRPr="00FE1A20">
        <w:rPr>
          <w:rFonts w:cstheme="minorHAnsi"/>
        </w:rPr>
        <w:t>list</w:t>
      </w:r>
      <w:r w:rsidR="00EE70B3">
        <w:rPr>
          <w:rFonts w:cstheme="minorHAnsi"/>
        </w:rPr>
        <w:t>s</w:t>
      </w:r>
      <w:r w:rsidR="001869C9" w:rsidRPr="00FE1A20">
        <w:rPr>
          <w:rFonts w:cstheme="minorHAnsi"/>
        </w:rPr>
        <w:t xml:space="preserve"> the membership and decisions </w:t>
      </w:r>
      <w:r w:rsidR="00FE1A20">
        <w:rPr>
          <w:rFonts w:cstheme="minorHAnsi"/>
        </w:rPr>
        <w:t xml:space="preserve">that are </w:t>
      </w:r>
      <w:r w:rsidR="001869C9" w:rsidRPr="00FE1A20">
        <w:rPr>
          <w:rFonts w:cstheme="minorHAnsi"/>
        </w:rPr>
        <w:t>communicated through meeting minutes</w:t>
      </w:r>
      <w:r w:rsidR="00EE0527" w:rsidRPr="00FE1A20">
        <w:rPr>
          <w:rFonts w:cstheme="minorHAnsi"/>
        </w:rPr>
        <w:t>.</w:t>
      </w:r>
      <w:r w:rsidR="005C7221">
        <w:rPr>
          <w:rFonts w:cstheme="minorHAnsi"/>
        </w:rPr>
        <w:t xml:space="preserve"> (</w:t>
      </w:r>
      <w:r w:rsidR="0039645C">
        <w:rPr>
          <w:rFonts w:cstheme="minorHAnsi"/>
          <w:b/>
          <w:bCs/>
        </w:rPr>
        <w:t>TOR</w:t>
      </w:r>
      <w:r w:rsidR="006F382A" w:rsidRPr="006F382A">
        <w:rPr>
          <w:rFonts w:cstheme="minorHAnsi"/>
          <w:b/>
          <w:bCs/>
        </w:rPr>
        <w:t xml:space="preserve"> item 2 &amp; 6</w:t>
      </w:r>
      <w:r w:rsidR="006F382A">
        <w:rPr>
          <w:rFonts w:cstheme="minorHAnsi"/>
        </w:rPr>
        <w:t>)</w:t>
      </w:r>
    </w:p>
    <w:p w14:paraId="7DA6724F" w14:textId="61F47AA6" w:rsidR="007C5EE6" w:rsidRPr="00A07A27" w:rsidRDefault="0008748D" w:rsidP="00AB5B7A">
      <w:pPr>
        <w:pStyle w:val="ListParagraph"/>
        <w:numPr>
          <w:ilvl w:val="0"/>
          <w:numId w:val="11"/>
        </w:numPr>
        <w:autoSpaceDE w:val="0"/>
        <w:autoSpaceDN w:val="0"/>
        <w:adjustRightInd w:val="0"/>
        <w:spacing w:after="0" w:line="240" w:lineRule="auto"/>
        <w:jc w:val="both"/>
        <w:rPr>
          <w:rFonts w:cstheme="minorHAnsi"/>
        </w:rPr>
      </w:pPr>
      <w:r w:rsidRPr="00A07A27">
        <w:rPr>
          <w:rFonts w:cstheme="minorHAnsi"/>
        </w:rPr>
        <w:t>Two</w:t>
      </w:r>
      <w:r w:rsidR="00EE0527" w:rsidRPr="00A07A27">
        <w:rPr>
          <w:rFonts w:cstheme="minorHAnsi"/>
        </w:rPr>
        <w:t xml:space="preserve"> area</w:t>
      </w:r>
      <w:r w:rsidRPr="00A07A27">
        <w:rPr>
          <w:rFonts w:cstheme="minorHAnsi"/>
        </w:rPr>
        <w:t>s</w:t>
      </w:r>
      <w:r w:rsidR="00EE0527" w:rsidRPr="00A07A27">
        <w:rPr>
          <w:rFonts w:cstheme="minorHAnsi"/>
        </w:rPr>
        <w:t xml:space="preserve"> of </w:t>
      </w:r>
      <w:r w:rsidR="00896A28" w:rsidRPr="00A07A27">
        <w:rPr>
          <w:rFonts w:cstheme="minorHAnsi"/>
        </w:rPr>
        <w:t>major concern w</w:t>
      </w:r>
      <w:r w:rsidR="00FE1A20" w:rsidRPr="00A07A27">
        <w:rPr>
          <w:rFonts w:cstheme="minorHAnsi"/>
        </w:rPr>
        <w:t>ere</w:t>
      </w:r>
      <w:r w:rsidR="00896A28" w:rsidRPr="00A07A27">
        <w:rPr>
          <w:rFonts w:cstheme="minorHAnsi"/>
        </w:rPr>
        <w:t xml:space="preserve"> the selection of med</w:t>
      </w:r>
      <w:r w:rsidR="0027360C" w:rsidRPr="00A07A27">
        <w:rPr>
          <w:rFonts w:cstheme="minorHAnsi"/>
        </w:rPr>
        <w:t>icine</w:t>
      </w:r>
      <w:r w:rsidR="00FE2999" w:rsidRPr="00A07A27">
        <w:rPr>
          <w:rFonts w:cstheme="minorHAnsi"/>
        </w:rPr>
        <w:t>s</w:t>
      </w:r>
      <w:r w:rsidR="0027360C" w:rsidRPr="00A07A27">
        <w:rPr>
          <w:rFonts w:cstheme="minorHAnsi"/>
        </w:rPr>
        <w:t xml:space="preserve"> for repurposing without adequate</w:t>
      </w:r>
      <w:r w:rsidR="00890C30" w:rsidRPr="00A07A27">
        <w:rPr>
          <w:rFonts w:cstheme="minorHAnsi"/>
        </w:rPr>
        <w:t xml:space="preserve"> vetting of their pharmacology nor</w:t>
      </w:r>
      <w:r w:rsidR="005F4E76" w:rsidRPr="00A07A27">
        <w:rPr>
          <w:rFonts w:cstheme="minorHAnsi"/>
        </w:rPr>
        <w:t xml:space="preserve"> relationship to the </w:t>
      </w:r>
      <w:r w:rsidR="00336C4C" w:rsidRPr="00A07A27">
        <w:rPr>
          <w:rFonts w:cstheme="minorHAnsi"/>
        </w:rPr>
        <w:t>published work on the disease</w:t>
      </w:r>
      <w:r w:rsidR="00F424CA" w:rsidRPr="00A07A27">
        <w:rPr>
          <w:rFonts w:cstheme="minorHAnsi"/>
        </w:rPr>
        <w:t xml:space="preserve">. </w:t>
      </w:r>
      <w:r w:rsidR="00605DD4" w:rsidRPr="00A07A27">
        <w:rPr>
          <w:rFonts w:cstheme="minorHAnsi"/>
        </w:rPr>
        <w:t>Secondly</w:t>
      </w:r>
      <w:r w:rsidR="002B1CDD" w:rsidRPr="00A07A27">
        <w:rPr>
          <w:rFonts w:cstheme="minorHAnsi"/>
        </w:rPr>
        <w:t>,</w:t>
      </w:r>
      <w:r w:rsidRPr="00A07A27">
        <w:rPr>
          <w:rFonts w:cstheme="minorHAnsi"/>
        </w:rPr>
        <w:t xml:space="preserve"> </w:t>
      </w:r>
      <w:r w:rsidR="0039645C">
        <w:rPr>
          <w:rFonts w:cstheme="minorHAnsi"/>
        </w:rPr>
        <w:t>the choice</w:t>
      </w:r>
      <w:r w:rsidR="002B1CDD" w:rsidRPr="00A07A27">
        <w:rPr>
          <w:rFonts w:cstheme="minorHAnsi"/>
        </w:rPr>
        <w:t xml:space="preserve"> t</w:t>
      </w:r>
      <w:r w:rsidR="0060231D" w:rsidRPr="00A07A27">
        <w:rPr>
          <w:rFonts w:cstheme="minorHAnsi"/>
        </w:rPr>
        <w:t>o study antiviral therapy in hospitalised patients</w:t>
      </w:r>
      <w:r w:rsidR="0039645C">
        <w:rPr>
          <w:rFonts w:cstheme="minorHAnsi"/>
        </w:rPr>
        <w:t xml:space="preserve"> delayed use until</w:t>
      </w:r>
      <w:r w:rsidR="0060231D" w:rsidRPr="00A07A27">
        <w:rPr>
          <w:rFonts w:cstheme="minorHAnsi"/>
        </w:rPr>
        <w:t xml:space="preserve"> </w:t>
      </w:r>
      <w:r w:rsidR="00B13DEB" w:rsidRPr="00A07A27">
        <w:rPr>
          <w:rFonts w:cstheme="minorHAnsi"/>
        </w:rPr>
        <w:t xml:space="preserve">long after the </w:t>
      </w:r>
      <w:r w:rsidR="0039645C">
        <w:rPr>
          <w:rFonts w:cstheme="minorHAnsi"/>
        </w:rPr>
        <w:t xml:space="preserve">peak of </w:t>
      </w:r>
      <w:r w:rsidR="00B13DEB" w:rsidRPr="00A07A27">
        <w:rPr>
          <w:rFonts w:cstheme="minorHAnsi"/>
        </w:rPr>
        <w:t xml:space="preserve">viral replication. </w:t>
      </w:r>
      <w:r w:rsidR="002B1CDD" w:rsidRPr="00A07A27">
        <w:rPr>
          <w:rFonts w:cstheme="minorHAnsi"/>
        </w:rPr>
        <w:t xml:space="preserve">Skills in clinical study design were limited. </w:t>
      </w:r>
      <w:r w:rsidR="0039645C">
        <w:rPr>
          <w:rFonts w:cstheme="minorHAnsi"/>
        </w:rPr>
        <w:t>F</w:t>
      </w:r>
      <w:r w:rsidR="005673EC" w:rsidRPr="00A07A27">
        <w:rPr>
          <w:rFonts w:cstheme="minorHAnsi"/>
        </w:rPr>
        <w:t xml:space="preserve">uture studies in the next wave of COVID-19 </w:t>
      </w:r>
      <w:r w:rsidR="00E66F76" w:rsidRPr="00A07A27">
        <w:rPr>
          <w:rFonts w:cstheme="minorHAnsi"/>
        </w:rPr>
        <w:t xml:space="preserve">or </w:t>
      </w:r>
      <w:r w:rsidR="0039645C">
        <w:rPr>
          <w:rFonts w:cstheme="minorHAnsi"/>
        </w:rPr>
        <w:t xml:space="preserve">a </w:t>
      </w:r>
      <w:r w:rsidR="000D0332">
        <w:rPr>
          <w:rFonts w:cstheme="minorHAnsi"/>
        </w:rPr>
        <w:t xml:space="preserve">different viral </w:t>
      </w:r>
      <w:r w:rsidR="000D0332" w:rsidRPr="00A07A27">
        <w:rPr>
          <w:rFonts w:cstheme="minorHAnsi"/>
        </w:rPr>
        <w:t>pandemic</w:t>
      </w:r>
      <w:r w:rsidR="00E66F76" w:rsidRPr="00A07A27">
        <w:rPr>
          <w:rFonts w:cstheme="minorHAnsi"/>
        </w:rPr>
        <w:t xml:space="preserve"> requires that </w:t>
      </w:r>
      <w:r w:rsidR="0039645C">
        <w:rPr>
          <w:rFonts w:cstheme="minorHAnsi"/>
        </w:rPr>
        <w:t>disease testing and case/contact tracing</w:t>
      </w:r>
      <w:r w:rsidR="005F7F02" w:rsidRPr="00A07A27">
        <w:rPr>
          <w:rFonts w:cstheme="minorHAnsi"/>
        </w:rPr>
        <w:t xml:space="preserve"> </w:t>
      </w:r>
      <w:r w:rsidR="0039645C">
        <w:rPr>
          <w:rFonts w:cstheme="minorHAnsi"/>
        </w:rPr>
        <w:t>be linked to recruitment into</w:t>
      </w:r>
      <w:r w:rsidR="0076725F">
        <w:rPr>
          <w:rFonts w:cstheme="minorHAnsi"/>
        </w:rPr>
        <w:t xml:space="preserve"> </w:t>
      </w:r>
      <w:r w:rsidR="00E62155" w:rsidRPr="00A07A27">
        <w:rPr>
          <w:rFonts w:cstheme="minorHAnsi"/>
        </w:rPr>
        <w:t xml:space="preserve">clinical </w:t>
      </w:r>
      <w:r w:rsidR="002471E6" w:rsidRPr="00A07A27">
        <w:rPr>
          <w:rFonts w:cstheme="minorHAnsi"/>
        </w:rPr>
        <w:t xml:space="preserve">trials of </w:t>
      </w:r>
      <w:r w:rsidR="002D1A7F" w:rsidRPr="00A07A27">
        <w:rPr>
          <w:rFonts w:cstheme="minorHAnsi"/>
        </w:rPr>
        <w:t>vaccines and prophylactic treatments</w:t>
      </w:r>
      <w:r w:rsidR="0039645C">
        <w:rPr>
          <w:rFonts w:cstheme="minorHAnsi"/>
        </w:rPr>
        <w:t>. Ideally these should be</w:t>
      </w:r>
      <w:r w:rsidR="00E3543E" w:rsidRPr="00A07A27">
        <w:rPr>
          <w:rFonts w:cstheme="minorHAnsi"/>
        </w:rPr>
        <w:t xml:space="preserve"> undertaken in the community</w:t>
      </w:r>
      <w:r w:rsidR="006203C6" w:rsidRPr="00A07A27">
        <w:rPr>
          <w:rFonts w:cstheme="minorHAnsi"/>
        </w:rPr>
        <w:t>.</w:t>
      </w:r>
      <w:r w:rsidR="00EE29D6" w:rsidRPr="00A07A27">
        <w:rPr>
          <w:rFonts w:cstheme="minorHAnsi"/>
        </w:rPr>
        <w:t xml:space="preserve"> (</w:t>
      </w:r>
      <w:r w:rsidR="00EE29D6" w:rsidRPr="00A07A27">
        <w:rPr>
          <w:rFonts w:cstheme="minorHAnsi"/>
          <w:b/>
          <w:bCs/>
        </w:rPr>
        <w:t xml:space="preserve">TOR item </w:t>
      </w:r>
      <w:r w:rsidR="00AE1264" w:rsidRPr="00A07A27">
        <w:rPr>
          <w:rFonts w:cstheme="minorHAnsi"/>
          <w:b/>
          <w:bCs/>
        </w:rPr>
        <w:t>2</w:t>
      </w:r>
      <w:r w:rsidR="003F1CF5" w:rsidRPr="00A07A27">
        <w:rPr>
          <w:rFonts w:cstheme="minorHAnsi"/>
          <w:b/>
          <w:bCs/>
        </w:rPr>
        <w:t xml:space="preserve"> &amp; </w:t>
      </w:r>
      <w:r w:rsidR="008C6D4D" w:rsidRPr="00A07A27">
        <w:rPr>
          <w:rFonts w:cstheme="minorHAnsi"/>
          <w:b/>
          <w:bCs/>
        </w:rPr>
        <w:t>6</w:t>
      </w:r>
      <w:r w:rsidR="00EE29D6" w:rsidRPr="00A07A27">
        <w:rPr>
          <w:rFonts w:cstheme="minorHAnsi"/>
        </w:rPr>
        <w:t>)</w:t>
      </w:r>
      <w:r w:rsidR="002D1A7F" w:rsidRPr="00A07A27">
        <w:rPr>
          <w:rFonts w:cstheme="minorHAnsi"/>
        </w:rPr>
        <w:t xml:space="preserve"> </w:t>
      </w:r>
    </w:p>
    <w:p w14:paraId="757C4A6A" w14:textId="7B6D8527" w:rsidR="007C5EE6" w:rsidRPr="00926282" w:rsidRDefault="007C5EE6" w:rsidP="00D00CCF">
      <w:pPr>
        <w:pStyle w:val="ListParagraph"/>
        <w:numPr>
          <w:ilvl w:val="0"/>
          <w:numId w:val="11"/>
        </w:numPr>
        <w:autoSpaceDE w:val="0"/>
        <w:autoSpaceDN w:val="0"/>
        <w:adjustRightInd w:val="0"/>
        <w:spacing w:after="0" w:line="240" w:lineRule="auto"/>
        <w:jc w:val="both"/>
        <w:rPr>
          <w:rFonts w:cstheme="minorHAnsi"/>
        </w:rPr>
      </w:pPr>
      <w:r w:rsidRPr="00926282">
        <w:rPr>
          <w:rFonts w:cstheme="minorHAnsi"/>
        </w:rPr>
        <w:t xml:space="preserve">There is a skills shortage for testing repurposed medicines </w:t>
      </w:r>
      <w:r w:rsidR="00946F4A">
        <w:rPr>
          <w:rFonts w:cstheme="minorHAnsi"/>
        </w:rPr>
        <w:t xml:space="preserve">approved for </w:t>
      </w:r>
      <w:r w:rsidR="00D83CA4">
        <w:rPr>
          <w:rFonts w:cstheme="minorHAnsi"/>
        </w:rPr>
        <w:t xml:space="preserve">other diseases </w:t>
      </w:r>
      <w:r w:rsidRPr="00926282">
        <w:rPr>
          <w:rFonts w:cstheme="minorHAnsi"/>
        </w:rPr>
        <w:t>and develop</w:t>
      </w:r>
      <w:r w:rsidR="00E03C67">
        <w:rPr>
          <w:rFonts w:cstheme="minorHAnsi"/>
        </w:rPr>
        <w:t>ment of</w:t>
      </w:r>
      <w:r w:rsidRPr="00926282">
        <w:rPr>
          <w:rFonts w:cstheme="minorHAnsi"/>
        </w:rPr>
        <w:t xml:space="preserve"> new medicines that requires increased numbers </w:t>
      </w:r>
      <w:r>
        <w:rPr>
          <w:rFonts w:cstheme="minorHAnsi"/>
        </w:rPr>
        <w:t xml:space="preserve">of physicians experienced in early medicine development. </w:t>
      </w:r>
      <w:r w:rsidR="00DE7DC4">
        <w:rPr>
          <w:rFonts w:cstheme="minorHAnsi"/>
        </w:rPr>
        <w:t xml:space="preserve">These skills can be found </w:t>
      </w:r>
      <w:r w:rsidR="0039645C">
        <w:rPr>
          <w:rFonts w:cstheme="minorHAnsi"/>
        </w:rPr>
        <w:t>among</w:t>
      </w:r>
      <w:r w:rsidR="00DE7DC4">
        <w:rPr>
          <w:rFonts w:cstheme="minorHAnsi"/>
        </w:rPr>
        <w:t xml:space="preserve"> the FPM </w:t>
      </w:r>
      <w:r w:rsidR="000D0332">
        <w:rPr>
          <w:rFonts w:cstheme="minorHAnsi"/>
        </w:rPr>
        <w:t>membership but</w:t>
      </w:r>
      <w:r w:rsidR="00F565E2">
        <w:rPr>
          <w:rFonts w:cstheme="minorHAnsi"/>
        </w:rPr>
        <w:t xml:space="preserve"> </w:t>
      </w:r>
      <w:r w:rsidR="00D83CA4">
        <w:rPr>
          <w:rFonts w:cstheme="minorHAnsi"/>
        </w:rPr>
        <w:t xml:space="preserve">need to be </w:t>
      </w:r>
      <w:r w:rsidR="00EE29D6">
        <w:rPr>
          <w:rFonts w:cstheme="minorHAnsi"/>
        </w:rPr>
        <w:t xml:space="preserve">also </w:t>
      </w:r>
      <w:r w:rsidR="00D83CA4">
        <w:rPr>
          <w:rFonts w:cstheme="minorHAnsi"/>
        </w:rPr>
        <w:t xml:space="preserve">developed in the NIHR </w:t>
      </w:r>
      <w:r w:rsidR="006F1EC2">
        <w:rPr>
          <w:rFonts w:cstheme="minorHAnsi"/>
        </w:rPr>
        <w:t>and in the Pharma</w:t>
      </w:r>
      <w:r w:rsidR="004D1192">
        <w:rPr>
          <w:rFonts w:cstheme="minorHAnsi"/>
        </w:rPr>
        <w:t xml:space="preserve"> I</w:t>
      </w:r>
      <w:r w:rsidR="006F1EC2">
        <w:rPr>
          <w:rFonts w:cstheme="minorHAnsi"/>
        </w:rPr>
        <w:t>ndustry</w:t>
      </w:r>
      <w:r w:rsidR="004D1192">
        <w:rPr>
          <w:rFonts w:cstheme="minorHAnsi"/>
        </w:rPr>
        <w:t>.</w:t>
      </w:r>
      <w:r w:rsidR="00EE29D6">
        <w:rPr>
          <w:rFonts w:cstheme="minorHAnsi"/>
        </w:rPr>
        <w:t xml:space="preserve"> (</w:t>
      </w:r>
      <w:r w:rsidR="00EE29D6" w:rsidRPr="00F55583">
        <w:rPr>
          <w:rFonts w:cstheme="minorHAnsi"/>
          <w:b/>
          <w:bCs/>
        </w:rPr>
        <w:t>TOR item</w:t>
      </w:r>
      <w:r w:rsidR="00AE1264" w:rsidRPr="00F55583">
        <w:rPr>
          <w:rFonts w:cstheme="minorHAnsi"/>
          <w:b/>
          <w:bCs/>
        </w:rPr>
        <w:t>2</w:t>
      </w:r>
      <w:r w:rsidR="008C6D4D" w:rsidRPr="00F55583">
        <w:rPr>
          <w:rFonts w:cstheme="minorHAnsi"/>
          <w:b/>
          <w:bCs/>
        </w:rPr>
        <w:t xml:space="preserve"> &amp; 6</w:t>
      </w:r>
      <w:r w:rsidR="00EE29D6">
        <w:rPr>
          <w:rFonts w:cstheme="minorHAnsi"/>
        </w:rPr>
        <w:t>)</w:t>
      </w:r>
    </w:p>
    <w:p w14:paraId="3C3FBF51" w14:textId="18547B39" w:rsidR="007C5EE6" w:rsidRPr="00926282" w:rsidRDefault="0039645C" w:rsidP="00D00CCF">
      <w:pPr>
        <w:pStyle w:val="ListParagraph"/>
        <w:numPr>
          <w:ilvl w:val="0"/>
          <w:numId w:val="11"/>
        </w:numPr>
        <w:autoSpaceDE w:val="0"/>
        <w:autoSpaceDN w:val="0"/>
        <w:adjustRightInd w:val="0"/>
        <w:spacing w:after="0" w:line="240" w:lineRule="auto"/>
        <w:jc w:val="both"/>
        <w:rPr>
          <w:rFonts w:cstheme="minorHAnsi"/>
        </w:rPr>
      </w:pPr>
      <w:r>
        <w:rPr>
          <w:rFonts w:cstheme="minorHAnsi"/>
        </w:rPr>
        <w:t>E</w:t>
      </w:r>
      <w:r w:rsidR="007C5EE6" w:rsidRPr="00926282">
        <w:rPr>
          <w:rFonts w:cstheme="minorHAnsi"/>
        </w:rPr>
        <w:t xml:space="preserve">ffective innovation and flexibility </w:t>
      </w:r>
      <w:r w:rsidR="00F14E9B">
        <w:rPr>
          <w:rFonts w:cstheme="minorHAnsi"/>
        </w:rPr>
        <w:t>were</w:t>
      </w:r>
      <w:r w:rsidR="00EE29D6">
        <w:rPr>
          <w:rFonts w:cstheme="minorHAnsi"/>
        </w:rPr>
        <w:t xml:space="preserve"> </w:t>
      </w:r>
      <w:r w:rsidR="007C5EE6" w:rsidRPr="00926282">
        <w:rPr>
          <w:rFonts w:cstheme="minorHAnsi"/>
        </w:rPr>
        <w:t>shown by the regulatory agencies, MHRA and HRA</w:t>
      </w:r>
      <w:r w:rsidR="000D0332">
        <w:rPr>
          <w:rFonts w:cstheme="minorHAnsi"/>
        </w:rPr>
        <w:t>, they</w:t>
      </w:r>
      <w:r w:rsidR="007C5EE6" w:rsidRPr="00926282">
        <w:rPr>
          <w:rFonts w:cstheme="minorHAnsi"/>
        </w:rPr>
        <w:t xml:space="preserve"> </w:t>
      </w:r>
      <w:r w:rsidR="007C5EE6">
        <w:rPr>
          <w:rFonts w:cstheme="minorHAnsi"/>
        </w:rPr>
        <w:t>were</w:t>
      </w:r>
      <w:r w:rsidR="007C5EE6" w:rsidRPr="00926282">
        <w:rPr>
          <w:rFonts w:cstheme="minorHAnsi"/>
        </w:rPr>
        <w:t xml:space="preserve"> exemplars</w:t>
      </w:r>
      <w:r w:rsidR="00102B03">
        <w:rPr>
          <w:rFonts w:cstheme="minorHAnsi"/>
        </w:rPr>
        <w:t xml:space="preserve">. </w:t>
      </w:r>
      <w:r>
        <w:rPr>
          <w:rFonts w:cstheme="minorHAnsi"/>
        </w:rPr>
        <w:t>I</w:t>
      </w:r>
      <w:r w:rsidR="007C5EE6" w:rsidRPr="00926282">
        <w:rPr>
          <w:rFonts w:cstheme="minorHAnsi"/>
        </w:rPr>
        <w:t>ndividual hospital contracting requirement</w:t>
      </w:r>
      <w:r w:rsidR="007C5EE6">
        <w:rPr>
          <w:rFonts w:cstheme="minorHAnsi"/>
        </w:rPr>
        <w:t>s</w:t>
      </w:r>
      <w:r w:rsidR="00E47E04">
        <w:rPr>
          <w:rFonts w:cstheme="minorHAnsi"/>
        </w:rPr>
        <w:t xml:space="preserve"> caused</w:t>
      </w:r>
      <w:r w:rsidR="007C5EE6" w:rsidRPr="00926282">
        <w:rPr>
          <w:rFonts w:cstheme="minorHAnsi"/>
        </w:rPr>
        <w:t xml:space="preserve"> delays</w:t>
      </w:r>
      <w:r w:rsidR="00102B03">
        <w:rPr>
          <w:rFonts w:cstheme="minorHAnsi"/>
        </w:rPr>
        <w:t xml:space="preserve"> </w:t>
      </w:r>
      <w:r w:rsidR="00AA45E7">
        <w:rPr>
          <w:rFonts w:cstheme="minorHAnsi"/>
        </w:rPr>
        <w:t xml:space="preserve">in starting studies </w:t>
      </w:r>
      <w:r>
        <w:rPr>
          <w:rFonts w:cstheme="minorHAnsi"/>
        </w:rPr>
        <w:t>for</w:t>
      </w:r>
      <w:r w:rsidR="00102B03">
        <w:rPr>
          <w:rFonts w:cstheme="minorHAnsi"/>
        </w:rPr>
        <w:t xml:space="preserve"> </w:t>
      </w:r>
      <w:r w:rsidR="00EE29D6">
        <w:rPr>
          <w:rFonts w:cstheme="minorHAnsi"/>
        </w:rPr>
        <w:t>several</w:t>
      </w:r>
      <w:r w:rsidR="00102B03">
        <w:rPr>
          <w:rFonts w:cstheme="minorHAnsi"/>
        </w:rPr>
        <w:t xml:space="preserve"> months after approval</w:t>
      </w:r>
      <w:r w:rsidR="00A034F4">
        <w:rPr>
          <w:rFonts w:cstheme="minorHAnsi"/>
        </w:rPr>
        <w:t>.</w:t>
      </w:r>
      <w:r w:rsidR="000D0332">
        <w:rPr>
          <w:rFonts w:cstheme="minorHAnsi"/>
        </w:rPr>
        <w:t xml:space="preserve"> </w:t>
      </w:r>
      <w:r w:rsidR="007C5EE6" w:rsidRPr="00926282">
        <w:rPr>
          <w:rFonts w:cstheme="minorHAnsi"/>
        </w:rPr>
        <w:t>A centralise</w:t>
      </w:r>
      <w:r>
        <w:rPr>
          <w:rFonts w:cstheme="minorHAnsi"/>
        </w:rPr>
        <w:t>d</w:t>
      </w:r>
      <w:r w:rsidR="007C5EE6" w:rsidRPr="00926282">
        <w:rPr>
          <w:rFonts w:cstheme="minorHAnsi"/>
        </w:rPr>
        <w:t xml:space="preserve"> contracting process has long been needed in the UK </w:t>
      </w:r>
      <w:r>
        <w:rPr>
          <w:rFonts w:cstheme="minorHAnsi"/>
        </w:rPr>
        <w:t>to facilitate rapid clinical trial site start up</w:t>
      </w:r>
      <w:r w:rsidR="007C5EE6" w:rsidRPr="00926282">
        <w:rPr>
          <w:rFonts w:cstheme="minorHAnsi"/>
        </w:rPr>
        <w:t>.</w:t>
      </w:r>
      <w:r w:rsidR="00F14E9B">
        <w:rPr>
          <w:rFonts w:cstheme="minorHAnsi"/>
        </w:rPr>
        <w:t xml:space="preserve"> </w:t>
      </w:r>
      <w:r w:rsidR="00AE1264">
        <w:rPr>
          <w:rFonts w:cstheme="minorHAnsi"/>
        </w:rPr>
        <w:t>(</w:t>
      </w:r>
      <w:r w:rsidR="00AE1264" w:rsidRPr="00F55583">
        <w:rPr>
          <w:rFonts w:cstheme="minorHAnsi"/>
          <w:b/>
          <w:bCs/>
        </w:rPr>
        <w:t>TOR</w:t>
      </w:r>
      <w:r w:rsidR="00F14E9B" w:rsidRPr="00F55583">
        <w:rPr>
          <w:rFonts w:cstheme="minorHAnsi"/>
          <w:b/>
          <w:bCs/>
        </w:rPr>
        <w:t xml:space="preserve"> 3</w:t>
      </w:r>
      <w:r w:rsidR="00F14E9B">
        <w:rPr>
          <w:rFonts w:cstheme="minorHAnsi"/>
        </w:rPr>
        <w:t>)</w:t>
      </w:r>
    </w:p>
    <w:p w14:paraId="749B552C" w14:textId="1ACF23FE" w:rsidR="007C5EE6" w:rsidRPr="00926282" w:rsidRDefault="00D159D6" w:rsidP="00D00CCF">
      <w:pPr>
        <w:pStyle w:val="ListParagraph"/>
        <w:numPr>
          <w:ilvl w:val="0"/>
          <w:numId w:val="11"/>
        </w:numPr>
        <w:autoSpaceDE w:val="0"/>
        <w:autoSpaceDN w:val="0"/>
        <w:adjustRightInd w:val="0"/>
        <w:spacing w:after="0" w:line="240" w:lineRule="auto"/>
        <w:jc w:val="both"/>
        <w:rPr>
          <w:rFonts w:cstheme="minorHAnsi"/>
        </w:rPr>
      </w:pPr>
      <w:r w:rsidRPr="000C282C">
        <w:rPr>
          <w:rFonts w:cstheme="minorHAnsi"/>
        </w:rPr>
        <w:t xml:space="preserve">We see a </w:t>
      </w:r>
      <w:r w:rsidRPr="000C282C">
        <w:rPr>
          <w:rFonts w:cstheme="minorHAnsi"/>
          <w:b/>
          <w:bCs/>
        </w:rPr>
        <w:t>National Framework</w:t>
      </w:r>
      <w:r w:rsidRPr="000C282C">
        <w:rPr>
          <w:rFonts w:cstheme="minorHAnsi"/>
        </w:rPr>
        <w:t xml:space="preserve"> for </w:t>
      </w:r>
      <w:r w:rsidR="00C45627" w:rsidRPr="000C282C">
        <w:rPr>
          <w:rFonts w:cstheme="minorHAnsi"/>
          <w:u w:val="single"/>
        </w:rPr>
        <w:t>medicines and diagnostic</w:t>
      </w:r>
      <w:r w:rsidR="0039645C">
        <w:rPr>
          <w:rFonts w:cstheme="minorHAnsi"/>
          <w:u w:val="single"/>
        </w:rPr>
        <w:t>s</w:t>
      </w:r>
      <w:r w:rsidR="000D0332">
        <w:rPr>
          <w:rFonts w:cstheme="minorHAnsi"/>
          <w:u w:val="single"/>
        </w:rPr>
        <w:t xml:space="preserve"> </w:t>
      </w:r>
      <w:r w:rsidR="000D0332" w:rsidRPr="000C282C">
        <w:rPr>
          <w:rFonts w:cstheme="minorHAnsi"/>
        </w:rPr>
        <w:t>to</w:t>
      </w:r>
      <w:r w:rsidR="00C45627" w:rsidRPr="000C282C">
        <w:rPr>
          <w:rFonts w:cstheme="minorHAnsi"/>
        </w:rPr>
        <w:t xml:space="preserve"> bring</w:t>
      </w:r>
      <w:r w:rsidR="0039645C">
        <w:rPr>
          <w:rFonts w:cstheme="minorHAnsi"/>
        </w:rPr>
        <w:t>ing</w:t>
      </w:r>
      <w:r w:rsidR="00C45627" w:rsidRPr="000C282C">
        <w:rPr>
          <w:rFonts w:cstheme="minorHAnsi"/>
        </w:rPr>
        <w:t xml:space="preserve"> together </w:t>
      </w:r>
      <w:r w:rsidR="00B22664" w:rsidRPr="000C282C">
        <w:rPr>
          <w:rFonts w:cstheme="minorHAnsi"/>
        </w:rPr>
        <w:t>all parties to coordinat</w:t>
      </w:r>
      <w:r w:rsidR="0039645C">
        <w:rPr>
          <w:rFonts w:cstheme="minorHAnsi"/>
        </w:rPr>
        <w:t>e capacity</w:t>
      </w:r>
      <w:r w:rsidR="000D0332">
        <w:rPr>
          <w:rFonts w:cstheme="minorHAnsi"/>
        </w:rPr>
        <w:t xml:space="preserve"> </w:t>
      </w:r>
      <w:r w:rsidR="00D74C19" w:rsidRPr="000C282C">
        <w:rPr>
          <w:rFonts w:cstheme="minorHAnsi"/>
        </w:rPr>
        <w:t>for testing both for pub</w:t>
      </w:r>
      <w:r w:rsidR="000C282C">
        <w:rPr>
          <w:rFonts w:cstheme="minorHAnsi"/>
        </w:rPr>
        <w:t>l</w:t>
      </w:r>
      <w:r w:rsidR="00D74C19" w:rsidRPr="000C282C">
        <w:rPr>
          <w:rFonts w:cstheme="minorHAnsi"/>
        </w:rPr>
        <w:t xml:space="preserve">ic health and for clinical care and research. </w:t>
      </w:r>
      <w:r w:rsidR="005B5053">
        <w:rPr>
          <w:rFonts w:cstheme="minorHAnsi"/>
        </w:rPr>
        <w:t xml:space="preserve">For the coming winter it is essential </w:t>
      </w:r>
      <w:r w:rsidR="003C6D2A">
        <w:rPr>
          <w:rFonts w:cstheme="minorHAnsi"/>
        </w:rPr>
        <w:t>that there is a</w:t>
      </w:r>
      <w:r w:rsidR="007C5EE6" w:rsidRPr="00926282">
        <w:rPr>
          <w:rFonts w:cstheme="minorHAnsi"/>
        </w:rPr>
        <w:t xml:space="preserve"> </w:t>
      </w:r>
      <w:r w:rsidR="007C5EE6">
        <w:rPr>
          <w:rFonts w:cstheme="minorHAnsi"/>
        </w:rPr>
        <w:t xml:space="preserve">rapid </w:t>
      </w:r>
      <w:r w:rsidR="007C5EE6" w:rsidRPr="00926282">
        <w:rPr>
          <w:rFonts w:cstheme="minorHAnsi"/>
        </w:rPr>
        <w:t xml:space="preserve">adoption of multiplexing </w:t>
      </w:r>
      <w:r w:rsidR="007C5EE6">
        <w:rPr>
          <w:rFonts w:cstheme="minorHAnsi"/>
        </w:rPr>
        <w:t xml:space="preserve">RTC-PCR </w:t>
      </w:r>
      <w:r w:rsidR="007C5EE6" w:rsidRPr="00926282">
        <w:rPr>
          <w:rFonts w:cstheme="minorHAnsi"/>
        </w:rPr>
        <w:t>technology to provide detailed diagnosis</w:t>
      </w:r>
      <w:r w:rsidR="0012451A">
        <w:rPr>
          <w:rFonts w:cstheme="minorHAnsi"/>
        </w:rPr>
        <w:t xml:space="preserve"> for the many</w:t>
      </w:r>
      <w:r w:rsidR="007C5EE6">
        <w:rPr>
          <w:rFonts w:cstheme="minorHAnsi"/>
        </w:rPr>
        <w:t xml:space="preserve"> </w:t>
      </w:r>
      <w:r w:rsidR="007C5EE6" w:rsidRPr="00926282">
        <w:rPr>
          <w:rFonts w:cstheme="minorHAnsi"/>
        </w:rPr>
        <w:t xml:space="preserve">viruses that </w:t>
      </w:r>
      <w:r w:rsidR="0012451A">
        <w:rPr>
          <w:rFonts w:cstheme="minorHAnsi"/>
        </w:rPr>
        <w:t>cause winter respiratory epidemics</w:t>
      </w:r>
      <w:r w:rsidR="007C5EE6" w:rsidRPr="00926282">
        <w:rPr>
          <w:rFonts w:cstheme="minorHAnsi"/>
        </w:rPr>
        <w:t>.</w:t>
      </w:r>
      <w:r w:rsidR="00972379">
        <w:rPr>
          <w:rFonts w:cstheme="minorHAnsi"/>
        </w:rPr>
        <w:t xml:space="preserve"> (</w:t>
      </w:r>
      <w:r w:rsidR="00972379" w:rsidRPr="00F55583">
        <w:rPr>
          <w:rFonts w:cstheme="minorHAnsi"/>
          <w:b/>
          <w:bCs/>
        </w:rPr>
        <w:t>TOR item 4</w:t>
      </w:r>
      <w:r w:rsidR="00972379">
        <w:rPr>
          <w:rFonts w:cstheme="minorHAnsi"/>
        </w:rPr>
        <w:t>)</w:t>
      </w:r>
    </w:p>
    <w:p w14:paraId="7FEC1E98" w14:textId="17A481DF" w:rsidR="007C5EE6" w:rsidRPr="00926282" w:rsidRDefault="007042F9" w:rsidP="00D00CCF">
      <w:pPr>
        <w:pStyle w:val="ListParagraph"/>
        <w:numPr>
          <w:ilvl w:val="0"/>
          <w:numId w:val="11"/>
        </w:numPr>
        <w:autoSpaceDE w:val="0"/>
        <w:autoSpaceDN w:val="0"/>
        <w:adjustRightInd w:val="0"/>
        <w:spacing w:after="0" w:line="240" w:lineRule="auto"/>
        <w:jc w:val="both"/>
        <w:rPr>
          <w:rFonts w:cstheme="minorHAnsi"/>
        </w:rPr>
      </w:pPr>
      <w:r>
        <w:rPr>
          <w:rFonts w:cstheme="minorHAnsi"/>
        </w:rPr>
        <w:t xml:space="preserve">There is </w:t>
      </w:r>
      <w:r w:rsidR="00C22ED0">
        <w:rPr>
          <w:rFonts w:cstheme="minorHAnsi"/>
        </w:rPr>
        <w:t xml:space="preserve">an immediate need to have an integrated clinical reporting system extending from </w:t>
      </w:r>
      <w:r w:rsidR="001727E7">
        <w:rPr>
          <w:rFonts w:cstheme="minorHAnsi"/>
        </w:rPr>
        <w:t>general practise to hospital care</w:t>
      </w:r>
      <w:r w:rsidR="00185E36">
        <w:rPr>
          <w:rFonts w:cstheme="minorHAnsi"/>
        </w:rPr>
        <w:t xml:space="preserve">. </w:t>
      </w:r>
      <w:r w:rsidR="007C5EE6" w:rsidRPr="00926282">
        <w:rPr>
          <w:rFonts w:cstheme="minorHAnsi"/>
        </w:rPr>
        <w:t xml:space="preserve">The availability of online anonymised </w:t>
      </w:r>
      <w:r w:rsidR="0012451A">
        <w:rPr>
          <w:rFonts w:cstheme="minorHAnsi"/>
        </w:rPr>
        <w:t xml:space="preserve">general practice </w:t>
      </w:r>
      <w:r w:rsidR="007C5EE6" w:rsidRPr="00926282">
        <w:rPr>
          <w:rFonts w:cstheme="minorHAnsi"/>
        </w:rPr>
        <w:t xml:space="preserve">patient data in the CPRD has enabled some excellent work on factors associated with risk of </w:t>
      </w:r>
      <w:r w:rsidR="007C5EE6" w:rsidRPr="00926282">
        <w:rPr>
          <w:rFonts w:cstheme="minorHAnsi"/>
        </w:rPr>
        <w:lastRenderedPageBreak/>
        <w:t>severe COVID disease within the UK population.  However, the lack of comparably detailed on-line linked hospital records hampers comparable research within a hospital setting</w:t>
      </w:r>
      <w:r w:rsidR="00185E36">
        <w:rPr>
          <w:rFonts w:cstheme="minorHAnsi"/>
        </w:rPr>
        <w:t xml:space="preserve">. Interoperability is </w:t>
      </w:r>
      <w:r w:rsidR="007640D3">
        <w:rPr>
          <w:rFonts w:cstheme="minorHAnsi"/>
        </w:rPr>
        <w:t>crucial to enable the patient pathway to be mapped from comm</w:t>
      </w:r>
      <w:r w:rsidR="000C271A">
        <w:rPr>
          <w:rFonts w:cstheme="minorHAnsi"/>
        </w:rPr>
        <w:t>unity to hospital including intensive care</w:t>
      </w:r>
      <w:r w:rsidR="006C11B4">
        <w:rPr>
          <w:rFonts w:cstheme="minorHAnsi"/>
        </w:rPr>
        <w:t xml:space="preserve">. </w:t>
      </w:r>
      <w:r w:rsidR="0012451A">
        <w:rPr>
          <w:rFonts w:cstheme="minorHAnsi"/>
        </w:rPr>
        <w:t>Ideally this</w:t>
      </w:r>
      <w:r w:rsidR="006C11B4">
        <w:rPr>
          <w:rFonts w:cstheme="minorHAnsi"/>
        </w:rPr>
        <w:t xml:space="preserve"> should operate “real-time”</w:t>
      </w:r>
      <w:r w:rsidR="0012451A">
        <w:rPr>
          <w:rFonts w:cstheme="minorHAnsi"/>
        </w:rPr>
        <w:t xml:space="preserve"> so that records are updated nightly</w:t>
      </w:r>
      <w:r w:rsidR="009B73B3">
        <w:rPr>
          <w:rFonts w:cstheme="minorHAnsi"/>
        </w:rPr>
        <w:t xml:space="preserve">. </w:t>
      </w:r>
      <w:r w:rsidR="00240355">
        <w:rPr>
          <w:rFonts w:cstheme="minorHAnsi"/>
        </w:rPr>
        <w:t>This is technically in our reach</w:t>
      </w:r>
      <w:r w:rsidR="00AD3CBA">
        <w:rPr>
          <w:rFonts w:cstheme="minorHAnsi"/>
        </w:rPr>
        <w:t xml:space="preserve"> and could provide the methods to </w:t>
      </w:r>
      <w:r w:rsidR="00172F83">
        <w:rPr>
          <w:rFonts w:cstheme="minorHAnsi"/>
        </w:rPr>
        <w:t>track</w:t>
      </w:r>
      <w:r w:rsidR="00AD3CBA">
        <w:rPr>
          <w:rFonts w:cstheme="minorHAnsi"/>
        </w:rPr>
        <w:t xml:space="preserve"> hazards from use of vaccines</w:t>
      </w:r>
      <w:r w:rsidR="0012451A">
        <w:rPr>
          <w:rFonts w:cstheme="minorHAnsi"/>
        </w:rPr>
        <w:t>/medicines</w:t>
      </w:r>
      <w:r w:rsidR="00240355">
        <w:rPr>
          <w:rFonts w:cstheme="minorHAnsi"/>
        </w:rPr>
        <w:t>.</w:t>
      </w:r>
      <w:r w:rsidR="00AD3CBA">
        <w:rPr>
          <w:rFonts w:cstheme="minorHAnsi"/>
        </w:rPr>
        <w:t xml:space="preserve"> </w:t>
      </w:r>
      <w:r w:rsidR="00CD3CB6">
        <w:rPr>
          <w:rFonts w:cstheme="minorHAnsi"/>
        </w:rPr>
        <w:t>(</w:t>
      </w:r>
      <w:r w:rsidR="00CD3CB6" w:rsidRPr="00F55583">
        <w:rPr>
          <w:rFonts w:cstheme="minorHAnsi"/>
          <w:b/>
          <w:bCs/>
        </w:rPr>
        <w:t xml:space="preserve">TOR item </w:t>
      </w:r>
      <w:r w:rsidR="00DF79B8" w:rsidRPr="00F55583">
        <w:rPr>
          <w:rFonts w:cstheme="minorHAnsi"/>
          <w:b/>
          <w:bCs/>
        </w:rPr>
        <w:t>5</w:t>
      </w:r>
      <w:r w:rsidR="00DF79B8">
        <w:rPr>
          <w:rFonts w:cstheme="minorHAnsi"/>
        </w:rPr>
        <w:t>)</w:t>
      </w:r>
    </w:p>
    <w:p w14:paraId="205E9EAA" w14:textId="0A1BB33A" w:rsidR="007C5EE6" w:rsidRPr="00926282" w:rsidRDefault="007C5EE6" w:rsidP="00D00CCF">
      <w:pPr>
        <w:pStyle w:val="ListParagraph"/>
        <w:numPr>
          <w:ilvl w:val="0"/>
          <w:numId w:val="11"/>
        </w:numPr>
        <w:autoSpaceDE w:val="0"/>
        <w:autoSpaceDN w:val="0"/>
        <w:adjustRightInd w:val="0"/>
        <w:spacing w:after="0" w:line="240" w:lineRule="auto"/>
        <w:jc w:val="both"/>
        <w:rPr>
          <w:rFonts w:cstheme="minorHAnsi"/>
        </w:rPr>
      </w:pPr>
      <w:r w:rsidRPr="00926282">
        <w:rPr>
          <w:rFonts w:cstheme="minorHAnsi"/>
        </w:rPr>
        <w:t xml:space="preserve">Paucity of post-mortem information </w:t>
      </w:r>
      <w:r w:rsidR="00EB4A9B">
        <w:rPr>
          <w:rFonts w:cstheme="minorHAnsi"/>
        </w:rPr>
        <w:t xml:space="preserve">in the UK </w:t>
      </w:r>
      <w:r w:rsidRPr="00926282">
        <w:rPr>
          <w:rFonts w:cstheme="minorHAnsi"/>
        </w:rPr>
        <w:t xml:space="preserve">has hampered the early identification of </w:t>
      </w:r>
      <w:r w:rsidR="00866173">
        <w:rPr>
          <w:rFonts w:cstheme="minorHAnsi"/>
        </w:rPr>
        <w:t>disease mechanisms involved</w:t>
      </w:r>
      <w:r w:rsidRPr="00926282">
        <w:rPr>
          <w:rFonts w:cstheme="minorHAnsi"/>
        </w:rPr>
        <w:t xml:space="preserve"> </w:t>
      </w:r>
      <w:r w:rsidR="003D1A32">
        <w:rPr>
          <w:rFonts w:cstheme="minorHAnsi"/>
        </w:rPr>
        <w:t xml:space="preserve">in </w:t>
      </w:r>
      <w:r w:rsidRPr="00926282">
        <w:rPr>
          <w:rFonts w:cstheme="minorHAnsi"/>
        </w:rPr>
        <w:t>the evolution of COVID19 disease</w:t>
      </w:r>
      <w:r w:rsidR="00EB4A9B">
        <w:rPr>
          <w:rFonts w:cstheme="minorHAnsi"/>
        </w:rPr>
        <w:t>. It</w:t>
      </w:r>
      <w:r w:rsidRPr="00926282">
        <w:rPr>
          <w:rFonts w:cstheme="minorHAnsi"/>
        </w:rPr>
        <w:t xml:space="preserve"> is recommended that facilities for diagnostic autopsy </w:t>
      </w:r>
      <w:r w:rsidR="000D0332">
        <w:rPr>
          <w:rFonts w:cstheme="minorHAnsi"/>
        </w:rPr>
        <w:t xml:space="preserve">with </w:t>
      </w:r>
      <w:r w:rsidR="005D2EAC">
        <w:rPr>
          <w:rFonts w:cstheme="minorHAnsi"/>
        </w:rPr>
        <w:t>accompanying immuno</w:t>
      </w:r>
      <w:r w:rsidR="00386C94">
        <w:rPr>
          <w:rFonts w:cstheme="minorHAnsi"/>
        </w:rPr>
        <w:t>histopathology</w:t>
      </w:r>
      <w:r w:rsidR="005D2EAC">
        <w:rPr>
          <w:rFonts w:cstheme="minorHAnsi"/>
        </w:rPr>
        <w:t xml:space="preserve"> and </w:t>
      </w:r>
      <w:r w:rsidR="00243CD1">
        <w:rPr>
          <w:rFonts w:cstheme="minorHAnsi"/>
        </w:rPr>
        <w:t>transcriptomic</w:t>
      </w:r>
      <w:r w:rsidR="00386C94">
        <w:rPr>
          <w:rFonts w:cstheme="minorHAnsi"/>
        </w:rPr>
        <w:t>s</w:t>
      </w:r>
      <w:r w:rsidR="00243CD1">
        <w:rPr>
          <w:rFonts w:cstheme="minorHAnsi"/>
        </w:rPr>
        <w:t xml:space="preserve"> </w:t>
      </w:r>
      <w:r w:rsidRPr="00926282">
        <w:rPr>
          <w:rFonts w:cstheme="minorHAnsi"/>
        </w:rPr>
        <w:t xml:space="preserve">are expanded in the UK to enable earlier identification of disease pathology and facilitate early development of management strategies. </w:t>
      </w:r>
      <w:r w:rsidR="00BF7867">
        <w:rPr>
          <w:rFonts w:cstheme="minorHAnsi"/>
        </w:rPr>
        <w:t>(</w:t>
      </w:r>
      <w:r w:rsidR="00BF7867" w:rsidRPr="00F55583">
        <w:rPr>
          <w:rFonts w:cstheme="minorHAnsi"/>
          <w:b/>
          <w:bCs/>
        </w:rPr>
        <w:t>TOR item 2 &amp; 6</w:t>
      </w:r>
      <w:r w:rsidR="00F35250">
        <w:rPr>
          <w:rFonts w:cstheme="minorHAnsi"/>
        </w:rPr>
        <w:t>)</w:t>
      </w:r>
    </w:p>
    <w:p w14:paraId="68F99388" w14:textId="53D39854" w:rsidR="007C5EE6" w:rsidRPr="00926282" w:rsidRDefault="007C5EE6" w:rsidP="00D00CCF">
      <w:pPr>
        <w:pStyle w:val="ListParagraph"/>
        <w:numPr>
          <w:ilvl w:val="0"/>
          <w:numId w:val="11"/>
        </w:numPr>
        <w:autoSpaceDE w:val="0"/>
        <w:autoSpaceDN w:val="0"/>
        <w:adjustRightInd w:val="0"/>
        <w:spacing w:after="0" w:line="240" w:lineRule="auto"/>
        <w:jc w:val="both"/>
        <w:rPr>
          <w:rFonts w:cstheme="minorHAnsi"/>
        </w:rPr>
      </w:pPr>
      <w:r w:rsidRPr="00926282">
        <w:rPr>
          <w:rFonts w:cstheme="minorHAnsi"/>
        </w:rPr>
        <w:t>Continued support for host and viral genomic studies is essential for the future</w:t>
      </w:r>
      <w:r w:rsidR="007C4068">
        <w:rPr>
          <w:rFonts w:cstheme="minorHAnsi"/>
        </w:rPr>
        <w:t xml:space="preserve"> medicine development</w:t>
      </w:r>
      <w:r w:rsidRPr="00926282">
        <w:rPr>
          <w:rFonts w:cstheme="minorHAnsi"/>
        </w:rPr>
        <w:t>.</w:t>
      </w:r>
      <w:r w:rsidR="009913EC">
        <w:rPr>
          <w:rFonts w:cstheme="minorHAnsi"/>
        </w:rPr>
        <w:t xml:space="preserve"> (</w:t>
      </w:r>
      <w:r w:rsidR="009913EC" w:rsidRPr="00F55583">
        <w:rPr>
          <w:rFonts w:cstheme="minorHAnsi"/>
          <w:b/>
          <w:bCs/>
        </w:rPr>
        <w:t>TOR item 2 &amp;</w:t>
      </w:r>
      <w:r w:rsidR="005821B0" w:rsidRPr="00F55583">
        <w:rPr>
          <w:rFonts w:cstheme="minorHAnsi"/>
          <w:b/>
          <w:bCs/>
        </w:rPr>
        <w:t xml:space="preserve"> 6</w:t>
      </w:r>
      <w:r w:rsidR="005821B0">
        <w:rPr>
          <w:rFonts w:cstheme="minorHAnsi"/>
        </w:rPr>
        <w:t>)</w:t>
      </w:r>
    </w:p>
    <w:p w14:paraId="0151CAEA" w14:textId="6511FBB7" w:rsidR="00DC207B" w:rsidRDefault="00DC207B" w:rsidP="00EC2761">
      <w:pPr>
        <w:autoSpaceDE w:val="0"/>
        <w:autoSpaceDN w:val="0"/>
        <w:adjustRightInd w:val="0"/>
        <w:spacing w:after="0" w:line="240" w:lineRule="auto"/>
        <w:jc w:val="both"/>
        <w:rPr>
          <w:rFonts w:cstheme="minorHAnsi"/>
        </w:rPr>
      </w:pPr>
    </w:p>
    <w:p w14:paraId="25604D1E" w14:textId="46CF7696" w:rsidR="00A151CB" w:rsidRPr="00887413" w:rsidRDefault="00A151CB" w:rsidP="00F43676">
      <w:pPr>
        <w:keepNext/>
        <w:autoSpaceDE w:val="0"/>
        <w:autoSpaceDN w:val="0"/>
        <w:adjustRightInd w:val="0"/>
        <w:spacing w:after="0" w:line="240" w:lineRule="auto"/>
        <w:jc w:val="both"/>
        <w:rPr>
          <w:rFonts w:cstheme="minorHAnsi"/>
          <w:b/>
          <w:bCs/>
          <w:color w:val="C00000"/>
          <w:sz w:val="24"/>
          <w:szCs w:val="24"/>
        </w:rPr>
      </w:pPr>
      <w:r w:rsidRPr="00887413">
        <w:rPr>
          <w:rFonts w:cstheme="minorHAnsi"/>
          <w:b/>
          <w:bCs/>
          <w:color w:val="C00000"/>
          <w:sz w:val="24"/>
          <w:szCs w:val="24"/>
        </w:rPr>
        <w:t xml:space="preserve">Clinical Medicines </w:t>
      </w:r>
      <w:r w:rsidR="008E33BC">
        <w:rPr>
          <w:rFonts w:cstheme="minorHAnsi"/>
          <w:b/>
          <w:bCs/>
          <w:color w:val="C00000"/>
          <w:sz w:val="24"/>
          <w:szCs w:val="24"/>
        </w:rPr>
        <w:t xml:space="preserve">and Vaccines </w:t>
      </w:r>
      <w:r w:rsidRPr="00887413">
        <w:rPr>
          <w:rFonts w:cstheme="minorHAnsi"/>
          <w:b/>
          <w:bCs/>
          <w:color w:val="C00000"/>
          <w:sz w:val="24"/>
          <w:szCs w:val="24"/>
        </w:rPr>
        <w:t>Development</w:t>
      </w:r>
    </w:p>
    <w:p w14:paraId="67073C53" w14:textId="77777777" w:rsidR="00A151CB" w:rsidRDefault="00A151CB" w:rsidP="00F43676">
      <w:pPr>
        <w:keepNext/>
        <w:autoSpaceDE w:val="0"/>
        <w:autoSpaceDN w:val="0"/>
        <w:adjustRightInd w:val="0"/>
        <w:spacing w:after="0" w:line="240" w:lineRule="auto"/>
        <w:jc w:val="both"/>
        <w:rPr>
          <w:rFonts w:cstheme="minorHAnsi"/>
        </w:rPr>
      </w:pPr>
    </w:p>
    <w:p w14:paraId="6F8686AE" w14:textId="790A7534" w:rsidR="00151F72" w:rsidRDefault="00E55C16" w:rsidP="00E6210B">
      <w:pPr>
        <w:keepNext/>
        <w:autoSpaceDE w:val="0"/>
        <w:autoSpaceDN w:val="0"/>
        <w:adjustRightInd w:val="0"/>
        <w:spacing w:after="0" w:line="240" w:lineRule="auto"/>
        <w:jc w:val="both"/>
        <w:rPr>
          <w:rFonts w:cstheme="minorHAnsi"/>
        </w:rPr>
      </w:pPr>
      <w:r>
        <w:rPr>
          <w:rFonts w:cstheme="minorHAnsi"/>
        </w:rPr>
        <w:t xml:space="preserve">Despite their training and expertise </w:t>
      </w:r>
      <w:r w:rsidR="00B649FF">
        <w:rPr>
          <w:rFonts w:cstheme="minorHAnsi"/>
        </w:rPr>
        <w:t xml:space="preserve">only a </w:t>
      </w:r>
      <w:r w:rsidR="00D2548F">
        <w:rPr>
          <w:rFonts w:cstheme="minorHAnsi"/>
        </w:rPr>
        <w:t>small</w:t>
      </w:r>
      <w:r w:rsidR="00B649FF">
        <w:rPr>
          <w:rFonts w:cstheme="minorHAnsi"/>
        </w:rPr>
        <w:t xml:space="preserve"> number </w:t>
      </w:r>
      <w:r w:rsidR="00F43676">
        <w:rPr>
          <w:rFonts w:cstheme="minorHAnsi"/>
        </w:rPr>
        <w:t xml:space="preserve">of our members </w:t>
      </w:r>
      <w:r w:rsidR="00B649FF">
        <w:rPr>
          <w:rFonts w:cstheme="minorHAnsi"/>
        </w:rPr>
        <w:t xml:space="preserve">were called to support the </w:t>
      </w:r>
      <w:r w:rsidR="00317434">
        <w:rPr>
          <w:rFonts w:cstheme="minorHAnsi"/>
        </w:rPr>
        <w:t>Government led research activities</w:t>
      </w:r>
      <w:r w:rsidR="00A32463">
        <w:rPr>
          <w:rFonts w:cstheme="minorHAnsi"/>
        </w:rPr>
        <w:t xml:space="preserve">. </w:t>
      </w:r>
      <w:r w:rsidR="000E6DCB">
        <w:rPr>
          <w:rFonts w:cstheme="minorHAnsi"/>
        </w:rPr>
        <w:t xml:space="preserve">Most of this </w:t>
      </w:r>
      <w:r w:rsidR="000F1ED7">
        <w:rPr>
          <w:rFonts w:cstheme="minorHAnsi"/>
        </w:rPr>
        <w:t xml:space="preserve">research was </w:t>
      </w:r>
      <w:r w:rsidR="002C0F52">
        <w:rPr>
          <w:rFonts w:cstheme="minorHAnsi"/>
        </w:rPr>
        <w:t xml:space="preserve">selected and </w:t>
      </w:r>
      <w:r w:rsidR="00446BF1">
        <w:rPr>
          <w:rFonts w:cstheme="minorHAnsi"/>
        </w:rPr>
        <w:t xml:space="preserve">led </w:t>
      </w:r>
      <w:r w:rsidR="002F15A7">
        <w:rPr>
          <w:rFonts w:cstheme="minorHAnsi"/>
        </w:rPr>
        <w:t xml:space="preserve">by </w:t>
      </w:r>
      <w:r w:rsidR="002C0F52">
        <w:rPr>
          <w:rFonts w:cstheme="minorHAnsi"/>
        </w:rPr>
        <w:t xml:space="preserve">a limited number of </w:t>
      </w:r>
      <w:r w:rsidR="002F15A7">
        <w:rPr>
          <w:rFonts w:cstheme="minorHAnsi"/>
        </w:rPr>
        <w:t xml:space="preserve">medical academics and a </w:t>
      </w:r>
      <w:r w:rsidR="00E03C67">
        <w:rPr>
          <w:rFonts w:cstheme="minorHAnsi"/>
        </w:rPr>
        <w:t>smaller</w:t>
      </w:r>
      <w:r w:rsidR="002C0F52">
        <w:rPr>
          <w:rFonts w:cstheme="minorHAnsi"/>
        </w:rPr>
        <w:t xml:space="preserve"> </w:t>
      </w:r>
      <w:r w:rsidR="002F15A7">
        <w:rPr>
          <w:rFonts w:cstheme="minorHAnsi"/>
        </w:rPr>
        <w:t xml:space="preserve">number </w:t>
      </w:r>
      <w:r w:rsidR="002F15A7" w:rsidRPr="004A444D">
        <w:rPr>
          <w:rFonts w:cstheme="minorHAnsi"/>
        </w:rPr>
        <w:t xml:space="preserve">of </w:t>
      </w:r>
      <w:r w:rsidR="005E41B0" w:rsidRPr="004A444D">
        <w:rPr>
          <w:rFonts w:cstheme="minorHAnsi"/>
        </w:rPr>
        <w:t xml:space="preserve">academic </w:t>
      </w:r>
      <w:r w:rsidR="00020491" w:rsidRPr="004A444D">
        <w:rPr>
          <w:rFonts w:cstheme="minorHAnsi"/>
        </w:rPr>
        <w:t>pharmacologists</w:t>
      </w:r>
      <w:r w:rsidR="00020491">
        <w:rPr>
          <w:rFonts w:cstheme="minorHAnsi"/>
        </w:rPr>
        <w:t xml:space="preserve">. </w:t>
      </w:r>
      <w:r w:rsidR="00CB4DCC">
        <w:rPr>
          <w:rFonts w:cstheme="minorHAnsi"/>
        </w:rPr>
        <w:t xml:space="preserve"> </w:t>
      </w:r>
      <w:r w:rsidR="00CC64D8">
        <w:rPr>
          <w:rFonts w:cstheme="minorHAnsi"/>
        </w:rPr>
        <w:t xml:space="preserve">In contrast </w:t>
      </w:r>
      <w:r w:rsidR="00203197">
        <w:rPr>
          <w:rFonts w:cstheme="minorHAnsi"/>
        </w:rPr>
        <w:t>o</w:t>
      </w:r>
      <w:r w:rsidR="00F2597D">
        <w:rPr>
          <w:rFonts w:cstheme="minorHAnsi"/>
        </w:rPr>
        <w:t>ur members contributed to</w:t>
      </w:r>
      <w:r w:rsidR="00DF30D3">
        <w:rPr>
          <w:rFonts w:cstheme="minorHAnsi"/>
        </w:rPr>
        <w:t xml:space="preserve"> </w:t>
      </w:r>
      <w:r w:rsidR="00F2597D">
        <w:rPr>
          <w:rFonts w:cstheme="minorHAnsi"/>
        </w:rPr>
        <w:t>the ~</w:t>
      </w:r>
      <w:r w:rsidR="00C05A36">
        <w:rPr>
          <w:rFonts w:cstheme="minorHAnsi"/>
        </w:rPr>
        <w:t>12</w:t>
      </w:r>
      <w:r w:rsidR="00F2597D">
        <w:rPr>
          <w:rFonts w:cstheme="minorHAnsi"/>
        </w:rPr>
        <w:t xml:space="preserve">00 </w:t>
      </w:r>
      <w:r w:rsidR="000837EC">
        <w:rPr>
          <w:rFonts w:cstheme="minorHAnsi"/>
        </w:rPr>
        <w:t>global clinical trials of new medicines for COVID-19</w:t>
      </w:r>
      <w:r w:rsidR="00CB4DCC">
        <w:rPr>
          <w:rFonts w:cstheme="minorHAnsi"/>
        </w:rPr>
        <w:t xml:space="preserve">, </w:t>
      </w:r>
      <w:r w:rsidR="001E73C0">
        <w:rPr>
          <w:rFonts w:cstheme="minorHAnsi"/>
        </w:rPr>
        <w:t xml:space="preserve">many </w:t>
      </w:r>
      <w:r w:rsidR="00FA257D">
        <w:rPr>
          <w:rFonts w:cstheme="minorHAnsi"/>
        </w:rPr>
        <w:t xml:space="preserve">of </w:t>
      </w:r>
      <w:r w:rsidR="00CB4DCC">
        <w:rPr>
          <w:rFonts w:cstheme="minorHAnsi"/>
        </w:rPr>
        <w:t xml:space="preserve">which </w:t>
      </w:r>
      <w:r w:rsidR="00FA257D">
        <w:rPr>
          <w:rFonts w:cstheme="minorHAnsi"/>
        </w:rPr>
        <w:t>we</w:t>
      </w:r>
      <w:r w:rsidR="000A1225">
        <w:rPr>
          <w:rFonts w:cstheme="minorHAnsi"/>
        </w:rPr>
        <w:t>re</w:t>
      </w:r>
      <w:r w:rsidR="00FA257D">
        <w:rPr>
          <w:rFonts w:cstheme="minorHAnsi"/>
        </w:rPr>
        <w:t xml:space="preserve"> </w:t>
      </w:r>
      <w:r w:rsidR="001E73C0">
        <w:rPr>
          <w:rFonts w:cstheme="minorHAnsi"/>
        </w:rPr>
        <w:t xml:space="preserve">first into COVID-19 patients or </w:t>
      </w:r>
      <w:r w:rsidR="00EF47AE">
        <w:rPr>
          <w:rFonts w:cstheme="minorHAnsi"/>
        </w:rPr>
        <w:t xml:space="preserve">first into human </w:t>
      </w:r>
      <w:r w:rsidR="00501209">
        <w:rPr>
          <w:rFonts w:cstheme="minorHAnsi"/>
        </w:rPr>
        <w:t>(FIH)</w:t>
      </w:r>
      <w:r w:rsidR="00E03C67">
        <w:rPr>
          <w:rFonts w:cstheme="minorHAnsi"/>
        </w:rPr>
        <w:t xml:space="preserve"> studies</w:t>
      </w:r>
      <w:r w:rsidR="00CB4DCC">
        <w:rPr>
          <w:rFonts w:cstheme="minorHAnsi"/>
        </w:rPr>
        <w:t>.</w:t>
      </w:r>
      <w:r w:rsidR="00501209">
        <w:rPr>
          <w:rFonts w:cstheme="minorHAnsi"/>
        </w:rPr>
        <w:t xml:space="preserve"> </w:t>
      </w:r>
    </w:p>
    <w:p w14:paraId="1F26E2D8" w14:textId="77777777" w:rsidR="00151F72" w:rsidRDefault="00151F72" w:rsidP="00E6210B">
      <w:pPr>
        <w:keepNext/>
        <w:autoSpaceDE w:val="0"/>
        <w:autoSpaceDN w:val="0"/>
        <w:adjustRightInd w:val="0"/>
        <w:spacing w:after="0" w:line="240" w:lineRule="auto"/>
        <w:jc w:val="both"/>
        <w:rPr>
          <w:rFonts w:cstheme="minorHAnsi"/>
        </w:rPr>
      </w:pPr>
    </w:p>
    <w:p w14:paraId="6EF54721" w14:textId="11794E7C" w:rsidR="00CD3260" w:rsidRPr="00B7432C" w:rsidRDefault="00054C88" w:rsidP="00E6210B">
      <w:pPr>
        <w:keepNext/>
        <w:autoSpaceDE w:val="0"/>
        <w:autoSpaceDN w:val="0"/>
        <w:adjustRightInd w:val="0"/>
        <w:spacing w:after="0" w:line="240" w:lineRule="auto"/>
        <w:jc w:val="both"/>
        <w:rPr>
          <w:rFonts w:cstheme="minorHAnsi"/>
        </w:rPr>
      </w:pPr>
      <w:r w:rsidRPr="00B7432C">
        <w:rPr>
          <w:rFonts w:cstheme="minorHAnsi"/>
        </w:rPr>
        <w:t xml:space="preserve">Consideration should be given to </w:t>
      </w:r>
      <w:r w:rsidR="00111ADD" w:rsidRPr="00B7432C">
        <w:rPr>
          <w:rFonts w:cstheme="minorHAnsi"/>
        </w:rPr>
        <w:t>establis</w:t>
      </w:r>
      <w:r w:rsidR="00CF6416" w:rsidRPr="00B7432C">
        <w:rPr>
          <w:rFonts w:cstheme="minorHAnsi"/>
        </w:rPr>
        <w:t xml:space="preserve">hing </w:t>
      </w:r>
      <w:r w:rsidRPr="00B7432C">
        <w:rPr>
          <w:rFonts w:cstheme="minorHAnsi"/>
        </w:rPr>
        <w:t xml:space="preserve">a </w:t>
      </w:r>
      <w:r w:rsidRPr="000C282C">
        <w:rPr>
          <w:rFonts w:cstheme="minorHAnsi"/>
          <w:b/>
          <w:bCs/>
        </w:rPr>
        <w:t>National Framework</w:t>
      </w:r>
      <w:r w:rsidRPr="00B7432C">
        <w:rPr>
          <w:rFonts w:cstheme="minorHAnsi"/>
        </w:rPr>
        <w:t xml:space="preserve"> for the selection and vetting of </w:t>
      </w:r>
      <w:r w:rsidR="00111ADD" w:rsidRPr="00B7432C">
        <w:rPr>
          <w:rFonts w:cstheme="minorHAnsi"/>
        </w:rPr>
        <w:t>r</w:t>
      </w:r>
      <w:r w:rsidR="002C3DE7" w:rsidRPr="00B7432C">
        <w:rPr>
          <w:rFonts w:cstheme="minorHAnsi"/>
        </w:rPr>
        <w:t xml:space="preserve">epurposing of medicines </w:t>
      </w:r>
      <w:r w:rsidR="00111ADD" w:rsidRPr="00B7432C">
        <w:rPr>
          <w:rFonts w:cstheme="minorHAnsi"/>
        </w:rPr>
        <w:t>along with introduction of new medicines</w:t>
      </w:r>
      <w:r w:rsidR="00CF6416" w:rsidRPr="00B7432C">
        <w:rPr>
          <w:rFonts w:cstheme="minorHAnsi"/>
        </w:rPr>
        <w:t xml:space="preserve"> that enables </w:t>
      </w:r>
      <w:r w:rsidR="00E94300" w:rsidRPr="00B7432C">
        <w:rPr>
          <w:rFonts w:cstheme="minorHAnsi"/>
        </w:rPr>
        <w:t>evidence</w:t>
      </w:r>
      <w:r w:rsidR="00E94300">
        <w:rPr>
          <w:rFonts w:cstheme="minorHAnsi"/>
        </w:rPr>
        <w:t>-based</w:t>
      </w:r>
      <w:r w:rsidR="00CF6416" w:rsidRPr="00B7432C">
        <w:rPr>
          <w:rFonts w:cstheme="minorHAnsi"/>
        </w:rPr>
        <w:t xml:space="preserve"> decision to be made</w:t>
      </w:r>
      <w:r w:rsidR="00E4590A" w:rsidRPr="00B7432C">
        <w:rPr>
          <w:rFonts w:cstheme="minorHAnsi"/>
        </w:rPr>
        <w:t xml:space="preserve">. </w:t>
      </w:r>
      <w:r w:rsidR="00DD6C8B" w:rsidRPr="00B7432C">
        <w:rPr>
          <w:rFonts w:cstheme="minorHAnsi"/>
        </w:rPr>
        <w:t>Such a structure would draw upon</w:t>
      </w:r>
      <w:r w:rsidR="002C3DE7" w:rsidRPr="00B7432C">
        <w:rPr>
          <w:rFonts w:cstheme="minorHAnsi"/>
        </w:rPr>
        <w:t xml:space="preserve"> the reassessment of dose response effects </w:t>
      </w:r>
      <w:r w:rsidR="00032737" w:rsidRPr="00B7432C">
        <w:rPr>
          <w:rFonts w:cstheme="minorHAnsi"/>
        </w:rPr>
        <w:t>for patients with COVID</w:t>
      </w:r>
      <w:r w:rsidR="00F6292C" w:rsidRPr="00B7432C">
        <w:rPr>
          <w:rFonts w:cstheme="minorHAnsi"/>
        </w:rPr>
        <w:t xml:space="preserve">-19 </w:t>
      </w:r>
      <w:r w:rsidR="002C3DE7" w:rsidRPr="00B7432C">
        <w:rPr>
          <w:rFonts w:cstheme="minorHAnsi"/>
        </w:rPr>
        <w:t xml:space="preserve">to determine </w:t>
      </w:r>
      <w:r w:rsidR="00F6292C" w:rsidRPr="00B7432C">
        <w:rPr>
          <w:rFonts w:cstheme="minorHAnsi"/>
        </w:rPr>
        <w:t>the</w:t>
      </w:r>
      <w:r w:rsidR="002C3DE7" w:rsidRPr="00B7432C">
        <w:rPr>
          <w:rFonts w:cstheme="minorHAnsi"/>
        </w:rPr>
        <w:t xml:space="preserve"> dose schedul</w:t>
      </w:r>
      <w:r w:rsidR="00F6292C" w:rsidRPr="00B7432C">
        <w:rPr>
          <w:rFonts w:cstheme="minorHAnsi"/>
        </w:rPr>
        <w:t>e</w:t>
      </w:r>
      <w:r w:rsidR="0097014B" w:rsidRPr="00B7432C">
        <w:rPr>
          <w:rFonts w:cstheme="minorHAnsi"/>
        </w:rPr>
        <w:t xml:space="preserve"> for </w:t>
      </w:r>
      <w:r w:rsidR="00671335" w:rsidRPr="00B7432C">
        <w:rPr>
          <w:rFonts w:cstheme="minorHAnsi"/>
        </w:rPr>
        <w:t>therapeutic success</w:t>
      </w:r>
      <w:r w:rsidR="00900EAD" w:rsidRPr="00B7432C">
        <w:rPr>
          <w:rFonts w:cstheme="minorHAnsi"/>
          <w:vertAlign w:val="superscript"/>
        </w:rPr>
        <w:t>1</w:t>
      </w:r>
      <w:r w:rsidR="00671335" w:rsidRPr="00B7432C">
        <w:rPr>
          <w:rFonts w:cstheme="minorHAnsi"/>
        </w:rPr>
        <w:t xml:space="preserve">. </w:t>
      </w:r>
      <w:r w:rsidR="00900EAD" w:rsidRPr="00B7432C">
        <w:rPr>
          <w:rFonts w:cstheme="minorHAnsi"/>
        </w:rPr>
        <w:t xml:space="preserve">In addition, trials of medicines </w:t>
      </w:r>
      <w:r w:rsidR="00490F30" w:rsidRPr="00B7432C">
        <w:rPr>
          <w:rFonts w:cstheme="minorHAnsi"/>
        </w:rPr>
        <w:t xml:space="preserve">which are intended to mediate effects </w:t>
      </w:r>
      <w:r w:rsidR="00AB0743" w:rsidRPr="00B7432C">
        <w:rPr>
          <w:rFonts w:cstheme="minorHAnsi"/>
        </w:rPr>
        <w:t xml:space="preserve">on respiratory viral disease </w:t>
      </w:r>
      <w:r w:rsidR="00490F30" w:rsidRPr="00B7432C">
        <w:rPr>
          <w:rFonts w:cstheme="minorHAnsi"/>
        </w:rPr>
        <w:t xml:space="preserve">by direct antiviral activity must focus on recruitment of patients during a narrow </w:t>
      </w:r>
      <w:r w:rsidR="00671335" w:rsidRPr="00B7432C">
        <w:rPr>
          <w:rFonts w:cstheme="minorHAnsi"/>
        </w:rPr>
        <w:t xml:space="preserve">window of opportunity </w:t>
      </w:r>
      <w:r w:rsidR="00490F30" w:rsidRPr="00B7432C">
        <w:rPr>
          <w:rFonts w:cstheme="minorHAnsi"/>
        </w:rPr>
        <w:t xml:space="preserve">prior to </w:t>
      </w:r>
      <w:r w:rsidR="00075B01" w:rsidRPr="00B7432C">
        <w:rPr>
          <w:rFonts w:cstheme="minorHAnsi"/>
        </w:rPr>
        <w:t xml:space="preserve">peak viral </w:t>
      </w:r>
      <w:r w:rsidR="00D92922" w:rsidRPr="00B7432C">
        <w:rPr>
          <w:rFonts w:cstheme="minorHAnsi"/>
        </w:rPr>
        <w:t>load</w:t>
      </w:r>
      <w:r w:rsidR="00AB0743" w:rsidRPr="00B7432C">
        <w:rPr>
          <w:rFonts w:cstheme="minorHAnsi"/>
          <w:vertAlign w:val="superscript"/>
        </w:rPr>
        <w:t>2</w:t>
      </w:r>
      <w:r w:rsidR="00D92922" w:rsidRPr="00B7432C">
        <w:rPr>
          <w:rFonts w:cstheme="minorHAnsi"/>
        </w:rPr>
        <w:t xml:space="preserve">. </w:t>
      </w:r>
      <w:r w:rsidR="00D04613" w:rsidRPr="00B7432C">
        <w:rPr>
          <w:rFonts w:cstheme="minorHAnsi"/>
        </w:rPr>
        <w:t xml:space="preserve">This would avoid </w:t>
      </w:r>
      <w:r w:rsidR="00B7432C" w:rsidRPr="00B7432C">
        <w:rPr>
          <w:rFonts w:cstheme="minorHAnsi"/>
        </w:rPr>
        <w:t xml:space="preserve">the </w:t>
      </w:r>
      <w:r w:rsidR="00D92922" w:rsidRPr="00B7432C">
        <w:rPr>
          <w:rFonts w:cstheme="minorHAnsi"/>
        </w:rPr>
        <w:t xml:space="preserve">focused </w:t>
      </w:r>
      <w:r w:rsidR="00425DBC" w:rsidRPr="00B7432C">
        <w:rPr>
          <w:rFonts w:cstheme="minorHAnsi"/>
        </w:rPr>
        <w:t xml:space="preserve">only </w:t>
      </w:r>
      <w:r w:rsidR="00D92922" w:rsidRPr="00B7432C">
        <w:rPr>
          <w:rFonts w:cstheme="minorHAnsi"/>
        </w:rPr>
        <w:t>on hospitalised patients</w:t>
      </w:r>
      <w:r w:rsidR="0097014B" w:rsidRPr="00B7432C">
        <w:rPr>
          <w:rFonts w:cstheme="minorHAnsi"/>
        </w:rPr>
        <w:t xml:space="preserve"> when </w:t>
      </w:r>
      <w:r w:rsidR="005009BC" w:rsidRPr="00B7432C">
        <w:rPr>
          <w:rFonts w:cstheme="minorHAnsi"/>
        </w:rPr>
        <w:t xml:space="preserve">the </w:t>
      </w:r>
      <w:r w:rsidR="00425DBC" w:rsidRPr="00B7432C">
        <w:rPr>
          <w:rFonts w:cstheme="minorHAnsi"/>
        </w:rPr>
        <w:t>peak viral load had already passed</w:t>
      </w:r>
      <w:r w:rsidR="005009BC" w:rsidRPr="00B7432C">
        <w:rPr>
          <w:rFonts w:cstheme="minorHAnsi"/>
        </w:rPr>
        <w:t xml:space="preserve"> </w:t>
      </w:r>
      <w:r w:rsidR="0012451A">
        <w:rPr>
          <w:rFonts w:cstheme="minorHAnsi"/>
        </w:rPr>
        <w:t>and</w:t>
      </w:r>
      <w:r w:rsidR="005009BC" w:rsidRPr="00B7432C">
        <w:rPr>
          <w:rFonts w:cstheme="minorHAnsi"/>
        </w:rPr>
        <w:t xml:space="preserve"> impact </w:t>
      </w:r>
      <w:r w:rsidR="009148E9" w:rsidRPr="00B7432C">
        <w:rPr>
          <w:rFonts w:cstheme="minorHAnsi"/>
        </w:rPr>
        <w:t xml:space="preserve">on the disease reduced. </w:t>
      </w:r>
      <w:r w:rsidR="00425DBC" w:rsidRPr="00B7432C">
        <w:rPr>
          <w:rFonts w:cstheme="minorHAnsi"/>
        </w:rPr>
        <w:t xml:space="preserve"> </w:t>
      </w:r>
    </w:p>
    <w:p w14:paraId="4579AA16" w14:textId="77777777" w:rsidR="00CD3260" w:rsidRPr="00695048" w:rsidRDefault="00CD3260" w:rsidP="00E6210B">
      <w:pPr>
        <w:keepNext/>
        <w:autoSpaceDE w:val="0"/>
        <w:autoSpaceDN w:val="0"/>
        <w:adjustRightInd w:val="0"/>
        <w:spacing w:after="0" w:line="240" w:lineRule="auto"/>
        <w:jc w:val="both"/>
        <w:rPr>
          <w:rFonts w:cstheme="minorHAnsi"/>
          <w:highlight w:val="yellow"/>
        </w:rPr>
      </w:pPr>
    </w:p>
    <w:p w14:paraId="399B1D50" w14:textId="57B891B0" w:rsidR="007E446A" w:rsidRDefault="00435E5B" w:rsidP="00E6210B">
      <w:pPr>
        <w:keepNext/>
        <w:autoSpaceDE w:val="0"/>
        <w:autoSpaceDN w:val="0"/>
        <w:adjustRightInd w:val="0"/>
        <w:spacing w:after="0" w:line="240" w:lineRule="auto"/>
        <w:jc w:val="both"/>
        <w:rPr>
          <w:rFonts w:cstheme="minorHAnsi"/>
        </w:rPr>
      </w:pPr>
      <w:r w:rsidRPr="000C0310">
        <w:rPr>
          <w:rFonts w:cstheme="minorHAnsi"/>
        </w:rPr>
        <w:t xml:space="preserve">This </w:t>
      </w:r>
      <w:r w:rsidR="00D06F53" w:rsidRPr="000C0310">
        <w:rPr>
          <w:rFonts w:cstheme="minorHAnsi"/>
        </w:rPr>
        <w:t xml:space="preserve">new </w:t>
      </w:r>
      <w:r w:rsidR="00B57C31" w:rsidRPr="000D0332">
        <w:rPr>
          <w:rFonts w:cstheme="minorHAnsi"/>
          <w:b/>
          <w:bCs/>
        </w:rPr>
        <w:t xml:space="preserve">National </w:t>
      </w:r>
      <w:r w:rsidR="000C4800" w:rsidRPr="000D0332">
        <w:rPr>
          <w:rFonts w:cstheme="minorHAnsi"/>
          <w:b/>
          <w:bCs/>
        </w:rPr>
        <w:t>Framew</w:t>
      </w:r>
      <w:r w:rsidR="00EC5FCF" w:rsidRPr="000D0332">
        <w:rPr>
          <w:rFonts w:cstheme="minorHAnsi"/>
          <w:b/>
          <w:bCs/>
        </w:rPr>
        <w:t>ork</w:t>
      </w:r>
      <w:r w:rsidR="00EC5FCF">
        <w:rPr>
          <w:rFonts w:cstheme="minorHAnsi"/>
        </w:rPr>
        <w:t xml:space="preserve"> </w:t>
      </w:r>
      <w:r w:rsidR="00B57C31" w:rsidRPr="000C0310">
        <w:rPr>
          <w:rFonts w:cstheme="minorHAnsi"/>
        </w:rPr>
        <w:t xml:space="preserve">could work internationally </w:t>
      </w:r>
      <w:r w:rsidR="00403AB1" w:rsidRPr="000C0310">
        <w:rPr>
          <w:rFonts w:cstheme="minorHAnsi"/>
        </w:rPr>
        <w:t xml:space="preserve">to </w:t>
      </w:r>
      <w:r w:rsidR="00781007" w:rsidRPr="000C0310">
        <w:rPr>
          <w:rFonts w:cstheme="minorHAnsi"/>
        </w:rPr>
        <w:t xml:space="preserve">prevent </w:t>
      </w:r>
      <w:r w:rsidR="00B67AD4" w:rsidRPr="000C0310">
        <w:rPr>
          <w:rFonts w:cstheme="minorHAnsi"/>
        </w:rPr>
        <w:t xml:space="preserve">misuse </w:t>
      </w:r>
      <w:r w:rsidR="0012451A">
        <w:rPr>
          <w:rFonts w:cstheme="minorHAnsi"/>
        </w:rPr>
        <w:t xml:space="preserve">of </w:t>
      </w:r>
      <w:r w:rsidR="00403AB1" w:rsidRPr="000C0310">
        <w:rPr>
          <w:rFonts w:cstheme="minorHAnsi"/>
        </w:rPr>
        <w:t>the patient population</w:t>
      </w:r>
      <w:r w:rsidR="0012451A">
        <w:rPr>
          <w:rFonts w:cstheme="minorHAnsi"/>
        </w:rPr>
        <w:t>,</w:t>
      </w:r>
      <w:r w:rsidR="00403AB1" w:rsidRPr="000C0310">
        <w:rPr>
          <w:rFonts w:cstheme="minorHAnsi"/>
        </w:rPr>
        <w:t xml:space="preserve"> </w:t>
      </w:r>
      <w:r w:rsidR="000C0310" w:rsidRPr="000C0310">
        <w:rPr>
          <w:rFonts w:cstheme="minorHAnsi"/>
        </w:rPr>
        <w:t>as occurred with</w:t>
      </w:r>
      <w:r w:rsidR="00B67AD4" w:rsidRPr="000C0310">
        <w:rPr>
          <w:rFonts w:cstheme="minorHAnsi"/>
        </w:rPr>
        <w:t xml:space="preserve"> </w:t>
      </w:r>
      <w:r w:rsidR="00BF6CE8" w:rsidRPr="000C0310">
        <w:rPr>
          <w:rFonts w:cstheme="minorHAnsi"/>
        </w:rPr>
        <w:t xml:space="preserve">the 237,000 </w:t>
      </w:r>
      <w:r w:rsidR="00B67AD4" w:rsidRPr="000C0310">
        <w:rPr>
          <w:rFonts w:cstheme="minorHAnsi"/>
        </w:rPr>
        <w:t>volunteer</w:t>
      </w:r>
      <w:r w:rsidR="00982CAD" w:rsidRPr="000C0310">
        <w:rPr>
          <w:rFonts w:cstheme="minorHAnsi"/>
        </w:rPr>
        <w:t xml:space="preserve"> </w:t>
      </w:r>
      <w:r w:rsidR="00BF6CE8" w:rsidRPr="000C0310">
        <w:rPr>
          <w:rFonts w:cstheme="minorHAnsi"/>
        </w:rPr>
        <w:t xml:space="preserve">patients </w:t>
      </w:r>
      <w:r w:rsidR="00982CAD" w:rsidRPr="000C0310">
        <w:rPr>
          <w:rFonts w:cstheme="minorHAnsi"/>
        </w:rPr>
        <w:t xml:space="preserve">involved in the global studies </w:t>
      </w:r>
      <w:r w:rsidR="004E6F00" w:rsidRPr="000C0310">
        <w:rPr>
          <w:rFonts w:cstheme="minorHAnsi"/>
        </w:rPr>
        <w:t>of HCQ</w:t>
      </w:r>
      <w:r w:rsidR="00B35D5A" w:rsidRPr="000C0310">
        <w:rPr>
          <w:rFonts w:cstheme="minorHAnsi"/>
        </w:rPr>
        <w:t xml:space="preserve"> </w:t>
      </w:r>
      <w:r w:rsidR="00925778" w:rsidRPr="000C0310">
        <w:rPr>
          <w:rFonts w:cstheme="minorHAnsi"/>
        </w:rPr>
        <w:t>(Source CLINTRIAL.GOV)</w:t>
      </w:r>
      <w:r w:rsidR="005D4AAC">
        <w:rPr>
          <w:rFonts w:cstheme="minorHAnsi"/>
        </w:rPr>
        <w:t xml:space="preserve"> despite lack of effect in animal models</w:t>
      </w:r>
      <w:r w:rsidR="005D4AAC">
        <w:rPr>
          <w:rFonts w:cstheme="minorHAnsi"/>
          <w:vertAlign w:val="superscript"/>
        </w:rPr>
        <w:t>3</w:t>
      </w:r>
      <w:r w:rsidR="004E6F00" w:rsidRPr="000C0310">
        <w:rPr>
          <w:rFonts w:cstheme="minorHAnsi"/>
        </w:rPr>
        <w:t>.</w:t>
      </w:r>
      <w:r w:rsidR="00982CAD" w:rsidRPr="000C0310">
        <w:rPr>
          <w:rFonts w:cstheme="minorHAnsi"/>
        </w:rPr>
        <w:t xml:space="preserve"> </w:t>
      </w:r>
      <w:r w:rsidR="00B67AD4" w:rsidRPr="000C0310">
        <w:rPr>
          <w:rFonts w:cstheme="minorHAnsi"/>
        </w:rPr>
        <w:t xml:space="preserve"> </w:t>
      </w:r>
      <w:r w:rsidR="008C66E4">
        <w:rPr>
          <w:rFonts w:cstheme="minorHAnsi"/>
        </w:rPr>
        <w:t>Such a stru</w:t>
      </w:r>
      <w:r w:rsidR="00BF2B6A">
        <w:rPr>
          <w:rFonts w:cstheme="minorHAnsi"/>
        </w:rPr>
        <w:t xml:space="preserve">cture could draw upon the </w:t>
      </w:r>
      <w:r w:rsidR="008C66E4" w:rsidRPr="00390303">
        <w:rPr>
          <w:rFonts w:cstheme="minorHAnsi"/>
        </w:rPr>
        <w:t>considerable expertise in the development of antiviral medicines in the UK pharmaceutical industry</w:t>
      </w:r>
      <w:r w:rsidR="003E0BDC" w:rsidRPr="00390303">
        <w:rPr>
          <w:rFonts w:cstheme="minorHAnsi"/>
        </w:rPr>
        <w:t>. T</w:t>
      </w:r>
      <w:r w:rsidR="008C66E4" w:rsidRPr="00390303">
        <w:rPr>
          <w:rFonts w:cstheme="minorHAnsi"/>
        </w:rPr>
        <w:t xml:space="preserve">his expertise </w:t>
      </w:r>
      <w:r w:rsidR="003E0BDC" w:rsidRPr="00390303">
        <w:rPr>
          <w:rFonts w:cstheme="minorHAnsi"/>
        </w:rPr>
        <w:t>could be</w:t>
      </w:r>
      <w:r w:rsidR="00707C72" w:rsidRPr="00390303">
        <w:rPr>
          <w:rFonts w:cstheme="minorHAnsi"/>
        </w:rPr>
        <w:t xml:space="preserve"> </w:t>
      </w:r>
      <w:r w:rsidR="008C66E4" w:rsidRPr="00390303">
        <w:rPr>
          <w:rFonts w:cstheme="minorHAnsi"/>
        </w:rPr>
        <w:t>harnessed in the design and management of clinical studies</w:t>
      </w:r>
      <w:r w:rsidR="00707C72" w:rsidRPr="00390303">
        <w:rPr>
          <w:rFonts w:cstheme="minorHAnsi"/>
        </w:rPr>
        <w:t>.</w:t>
      </w:r>
      <w:r w:rsidR="00707C72">
        <w:rPr>
          <w:rFonts w:cstheme="minorHAnsi"/>
        </w:rPr>
        <w:t xml:space="preserve"> It could </w:t>
      </w:r>
      <w:r w:rsidR="006614D5">
        <w:rPr>
          <w:rFonts w:cstheme="minorHAnsi"/>
        </w:rPr>
        <w:t xml:space="preserve">work to enable the technical capacity to </w:t>
      </w:r>
      <w:r w:rsidR="008C66E4">
        <w:rPr>
          <w:rFonts w:cstheme="minorHAnsi"/>
        </w:rPr>
        <w:t xml:space="preserve">undertake studies of anti-viral therapies </w:t>
      </w:r>
      <w:r w:rsidR="000D0332">
        <w:rPr>
          <w:rFonts w:cstheme="minorHAnsi"/>
        </w:rPr>
        <w:t>to take advantage</w:t>
      </w:r>
      <w:r w:rsidR="008C66E4">
        <w:rPr>
          <w:rFonts w:cstheme="minorHAnsi"/>
        </w:rPr>
        <w:t xml:space="preserve"> of the “track and trace” system to initiate treatment </w:t>
      </w:r>
      <w:r w:rsidR="00C75B3A">
        <w:rPr>
          <w:rFonts w:cstheme="minorHAnsi"/>
        </w:rPr>
        <w:t xml:space="preserve">in the community </w:t>
      </w:r>
      <w:r w:rsidR="008C66E4">
        <w:rPr>
          <w:rFonts w:cstheme="minorHAnsi"/>
        </w:rPr>
        <w:t>prior to peak viral load, which occurs within 3-5 days of first symptom onset</w:t>
      </w:r>
      <w:r w:rsidR="005D4AAC">
        <w:rPr>
          <w:rFonts w:cstheme="minorHAnsi"/>
        </w:rPr>
        <w:t>.</w:t>
      </w:r>
    </w:p>
    <w:p w14:paraId="02679E74" w14:textId="5C36814F" w:rsidR="0055544B" w:rsidRDefault="0055544B" w:rsidP="00E6210B">
      <w:pPr>
        <w:keepNext/>
        <w:autoSpaceDE w:val="0"/>
        <w:autoSpaceDN w:val="0"/>
        <w:adjustRightInd w:val="0"/>
        <w:spacing w:after="0" w:line="240" w:lineRule="auto"/>
        <w:jc w:val="both"/>
        <w:rPr>
          <w:rFonts w:cstheme="minorHAnsi"/>
        </w:rPr>
      </w:pPr>
    </w:p>
    <w:p w14:paraId="03A8C8A0" w14:textId="0F80B285" w:rsidR="0055544B" w:rsidRDefault="0055544B" w:rsidP="00ED61D7">
      <w:pPr>
        <w:keepNext/>
        <w:autoSpaceDE w:val="0"/>
        <w:autoSpaceDN w:val="0"/>
        <w:adjustRightInd w:val="0"/>
        <w:spacing w:after="0" w:line="240" w:lineRule="auto"/>
        <w:jc w:val="both"/>
        <w:rPr>
          <w:rFonts w:cstheme="minorHAnsi"/>
        </w:rPr>
      </w:pPr>
      <w:r>
        <w:rPr>
          <w:rFonts w:cstheme="minorHAnsi"/>
        </w:rPr>
        <w:t xml:space="preserve">In contrast, pathology </w:t>
      </w:r>
      <w:r w:rsidR="000D75E4">
        <w:rPr>
          <w:rFonts w:cstheme="minorHAnsi"/>
        </w:rPr>
        <w:t xml:space="preserve">of the </w:t>
      </w:r>
      <w:r w:rsidR="00417B15">
        <w:rPr>
          <w:rFonts w:cstheme="minorHAnsi"/>
        </w:rPr>
        <w:t xml:space="preserve">COVID-19 </w:t>
      </w:r>
      <w:r w:rsidR="000D75E4">
        <w:rPr>
          <w:rFonts w:cstheme="minorHAnsi"/>
        </w:rPr>
        <w:t xml:space="preserve">disease </w:t>
      </w:r>
      <w:r>
        <w:rPr>
          <w:rFonts w:cstheme="minorHAnsi"/>
        </w:rPr>
        <w:t xml:space="preserve">in hospitalised patients is predominantly driven by an exaggerated immune response accompanied by an extensive coagulopathy with disseminated intravascular coagulation and thrombosis. </w:t>
      </w:r>
      <w:r w:rsidR="00392EBD">
        <w:rPr>
          <w:rFonts w:cstheme="minorHAnsi"/>
        </w:rPr>
        <w:t>Th</w:t>
      </w:r>
      <w:r w:rsidR="00D369D0">
        <w:rPr>
          <w:rFonts w:cstheme="minorHAnsi"/>
        </w:rPr>
        <w:t>is</w:t>
      </w:r>
      <w:r w:rsidR="00392EBD">
        <w:rPr>
          <w:rFonts w:cstheme="minorHAnsi"/>
        </w:rPr>
        <w:t xml:space="preserve"> knowledge </w:t>
      </w:r>
      <w:r w:rsidR="00652549">
        <w:rPr>
          <w:rFonts w:cstheme="minorHAnsi"/>
        </w:rPr>
        <w:t>ha</w:t>
      </w:r>
      <w:r w:rsidR="00E03C67">
        <w:rPr>
          <w:rFonts w:cstheme="minorHAnsi"/>
        </w:rPr>
        <w:t>s</w:t>
      </w:r>
      <w:r w:rsidR="00652549">
        <w:rPr>
          <w:rFonts w:cstheme="minorHAnsi"/>
        </w:rPr>
        <w:t xml:space="preserve"> </w:t>
      </w:r>
      <w:r w:rsidR="00D369D0">
        <w:rPr>
          <w:rFonts w:cstheme="minorHAnsi"/>
        </w:rPr>
        <w:t>been acquired from</w:t>
      </w:r>
      <w:r w:rsidR="00652549">
        <w:rPr>
          <w:rFonts w:cstheme="minorHAnsi"/>
        </w:rPr>
        <w:t xml:space="preserve"> histopathology performed in China, </w:t>
      </w:r>
      <w:r w:rsidR="00EF7327">
        <w:rPr>
          <w:rFonts w:cstheme="minorHAnsi"/>
        </w:rPr>
        <w:t>USA,</w:t>
      </w:r>
      <w:r w:rsidR="00652549">
        <w:rPr>
          <w:rFonts w:cstheme="minorHAnsi"/>
        </w:rPr>
        <w:t xml:space="preserve"> and Italy with no contribution </w:t>
      </w:r>
      <w:r w:rsidR="00691EAE">
        <w:rPr>
          <w:rFonts w:cstheme="minorHAnsi"/>
        </w:rPr>
        <w:t>f</w:t>
      </w:r>
      <w:r w:rsidR="00332D96">
        <w:rPr>
          <w:rFonts w:cstheme="minorHAnsi"/>
        </w:rPr>
        <w:t>rom</w:t>
      </w:r>
      <w:r w:rsidR="00691EAE">
        <w:rPr>
          <w:rFonts w:cstheme="minorHAnsi"/>
        </w:rPr>
        <w:t xml:space="preserve"> the UK</w:t>
      </w:r>
      <w:r w:rsidR="00813FC2">
        <w:rPr>
          <w:rFonts w:cstheme="minorHAnsi"/>
        </w:rPr>
        <w:t xml:space="preserve"> because of the </w:t>
      </w:r>
      <w:r>
        <w:rPr>
          <w:rFonts w:cstheme="minorHAnsi"/>
        </w:rPr>
        <w:t xml:space="preserve">low frequency of </w:t>
      </w:r>
      <w:r w:rsidR="00CC3240">
        <w:rPr>
          <w:rFonts w:cstheme="minorHAnsi"/>
        </w:rPr>
        <w:t xml:space="preserve">diagnostic </w:t>
      </w:r>
      <w:r>
        <w:rPr>
          <w:rFonts w:cstheme="minorHAnsi"/>
        </w:rPr>
        <w:t xml:space="preserve">postmortem investigation of patients dying from COVID19 early in the epidemic. </w:t>
      </w:r>
      <w:r w:rsidR="00F546A4">
        <w:rPr>
          <w:rFonts w:cstheme="minorHAnsi"/>
        </w:rPr>
        <w:t>Post-mortem</w:t>
      </w:r>
      <w:r>
        <w:rPr>
          <w:rFonts w:cstheme="minorHAnsi"/>
        </w:rPr>
        <w:t xml:space="preserve"> investigations </w:t>
      </w:r>
      <w:r w:rsidR="00F546A4">
        <w:rPr>
          <w:rFonts w:cstheme="minorHAnsi"/>
        </w:rPr>
        <w:t xml:space="preserve">are critical in </w:t>
      </w:r>
      <w:r w:rsidR="00C6297E">
        <w:rPr>
          <w:rFonts w:cstheme="minorHAnsi"/>
        </w:rPr>
        <w:t xml:space="preserve">providing details </w:t>
      </w:r>
      <w:r w:rsidR="006820FB">
        <w:rPr>
          <w:rFonts w:cstheme="minorHAnsi"/>
        </w:rPr>
        <w:t xml:space="preserve">histopathology </w:t>
      </w:r>
      <w:r w:rsidR="00C6297E">
        <w:rPr>
          <w:rFonts w:cstheme="minorHAnsi"/>
        </w:rPr>
        <w:t xml:space="preserve">of </w:t>
      </w:r>
      <w:r w:rsidR="00E03C67">
        <w:rPr>
          <w:rFonts w:cstheme="minorHAnsi"/>
        </w:rPr>
        <w:t>the effects of</w:t>
      </w:r>
      <w:r w:rsidR="00C6297E">
        <w:rPr>
          <w:rFonts w:cstheme="minorHAnsi"/>
        </w:rPr>
        <w:t xml:space="preserve"> COVID-19 disease </w:t>
      </w:r>
      <w:r w:rsidR="00E03C67">
        <w:rPr>
          <w:rFonts w:cstheme="minorHAnsi"/>
        </w:rPr>
        <w:t>on organ systems</w:t>
      </w:r>
      <w:r w:rsidR="00CD1BA7">
        <w:rPr>
          <w:rFonts w:cstheme="minorHAnsi"/>
        </w:rPr>
        <w:t xml:space="preserve">. </w:t>
      </w:r>
      <w:r w:rsidR="00001C08">
        <w:rPr>
          <w:rFonts w:cstheme="minorHAnsi"/>
        </w:rPr>
        <w:t>Development of new m</w:t>
      </w:r>
      <w:r w:rsidR="00CD1BA7">
        <w:rPr>
          <w:rFonts w:cstheme="minorHAnsi"/>
        </w:rPr>
        <w:t>edicines and</w:t>
      </w:r>
      <w:r w:rsidR="00001C08">
        <w:rPr>
          <w:rFonts w:cstheme="minorHAnsi"/>
        </w:rPr>
        <w:t xml:space="preserve"> </w:t>
      </w:r>
      <w:r w:rsidR="00371C52">
        <w:rPr>
          <w:rFonts w:cstheme="minorHAnsi"/>
        </w:rPr>
        <w:t>new devices</w:t>
      </w:r>
      <w:r w:rsidR="00001C08">
        <w:rPr>
          <w:rFonts w:cstheme="minorHAnsi"/>
        </w:rPr>
        <w:t xml:space="preserve"> for supporting breathing </w:t>
      </w:r>
      <w:r w:rsidR="00371C52">
        <w:rPr>
          <w:rFonts w:cstheme="minorHAnsi"/>
        </w:rPr>
        <w:t>require</w:t>
      </w:r>
      <w:r w:rsidR="00E03C67">
        <w:rPr>
          <w:rFonts w:cstheme="minorHAnsi"/>
        </w:rPr>
        <w:t>s</w:t>
      </w:r>
      <w:r w:rsidR="00371C52">
        <w:rPr>
          <w:rFonts w:cstheme="minorHAnsi"/>
        </w:rPr>
        <w:t xml:space="preserve"> this understanding</w:t>
      </w:r>
      <w:r w:rsidR="00493C0C">
        <w:rPr>
          <w:rFonts w:cstheme="minorHAnsi"/>
        </w:rPr>
        <w:t xml:space="preserve"> to be able to respond quickly. </w:t>
      </w:r>
      <w:r w:rsidR="00D73D65" w:rsidRPr="00D73D65">
        <w:rPr>
          <w:rFonts w:cstheme="minorHAnsi"/>
        </w:rPr>
        <w:t xml:space="preserve">Worldwide there has been an enormous effort to understand the pathology of the lung disease and </w:t>
      </w:r>
      <w:r w:rsidR="00E03C67">
        <w:rPr>
          <w:rFonts w:cstheme="minorHAnsi"/>
        </w:rPr>
        <w:t>its</w:t>
      </w:r>
      <w:r w:rsidR="00E03C67" w:rsidRPr="00D73D65">
        <w:rPr>
          <w:rFonts w:cstheme="minorHAnsi"/>
        </w:rPr>
        <w:t xml:space="preserve"> </w:t>
      </w:r>
      <w:r w:rsidR="00D73D65" w:rsidRPr="00D73D65">
        <w:rPr>
          <w:rFonts w:cstheme="minorHAnsi"/>
        </w:rPr>
        <w:t>systemic effects</w:t>
      </w:r>
      <w:r w:rsidR="00D73D65">
        <w:rPr>
          <w:rFonts w:cstheme="minorHAnsi"/>
        </w:rPr>
        <w:t>, which has resulted in the recognition of</w:t>
      </w:r>
      <w:r w:rsidR="00FE4484">
        <w:rPr>
          <w:rFonts w:cstheme="minorHAnsi"/>
        </w:rPr>
        <w:t xml:space="preserve"> endotheli</w:t>
      </w:r>
      <w:r w:rsidR="008E4CD4">
        <w:rPr>
          <w:rFonts w:cstheme="minorHAnsi"/>
        </w:rPr>
        <w:t>i</w:t>
      </w:r>
      <w:r w:rsidR="00FE4484">
        <w:rPr>
          <w:rFonts w:cstheme="minorHAnsi"/>
        </w:rPr>
        <w:t>tis</w:t>
      </w:r>
      <w:r w:rsidR="0073603B" w:rsidRPr="00D00CCF">
        <w:rPr>
          <w:rFonts w:cstheme="minorHAnsi"/>
          <w:vertAlign w:val="superscript"/>
        </w:rPr>
        <w:t>4</w:t>
      </w:r>
      <w:r w:rsidR="00FE4484">
        <w:rPr>
          <w:rFonts w:cstheme="minorHAnsi"/>
        </w:rPr>
        <w:t xml:space="preserve">, microvascular angiogenesis and </w:t>
      </w:r>
      <w:r w:rsidR="00C84ABB">
        <w:rPr>
          <w:rFonts w:cstheme="minorHAnsi"/>
        </w:rPr>
        <w:t xml:space="preserve">intravascular thrombosis </w:t>
      </w:r>
      <w:r w:rsidR="00ED61D7">
        <w:rPr>
          <w:rFonts w:cstheme="minorHAnsi"/>
        </w:rPr>
        <w:t xml:space="preserve">associated with </w:t>
      </w:r>
      <w:r w:rsidR="00C84ABB">
        <w:rPr>
          <w:rFonts w:cstheme="minorHAnsi"/>
        </w:rPr>
        <w:t>dy</w:t>
      </w:r>
      <w:r w:rsidR="00ED61D7">
        <w:rPr>
          <w:rFonts w:cstheme="minorHAnsi"/>
        </w:rPr>
        <w:t>s</w:t>
      </w:r>
      <w:r w:rsidR="00C84ABB">
        <w:rPr>
          <w:rFonts w:cstheme="minorHAnsi"/>
        </w:rPr>
        <w:t>regulation of the complement pathway</w:t>
      </w:r>
      <w:r w:rsidR="0073603B" w:rsidRPr="00D00CCF">
        <w:rPr>
          <w:rFonts w:cstheme="minorHAnsi"/>
          <w:vertAlign w:val="superscript"/>
        </w:rPr>
        <w:t>5,6</w:t>
      </w:r>
      <w:r w:rsidR="00ED61D7">
        <w:rPr>
          <w:rFonts w:cstheme="minorHAnsi"/>
        </w:rPr>
        <w:t>, which</w:t>
      </w:r>
      <w:r w:rsidR="00E03C67">
        <w:rPr>
          <w:rFonts w:cstheme="minorHAnsi"/>
        </w:rPr>
        <w:t>,</w:t>
      </w:r>
      <w:r w:rsidR="00ED61D7">
        <w:rPr>
          <w:rFonts w:cstheme="minorHAnsi"/>
        </w:rPr>
        <w:t xml:space="preserve"> </w:t>
      </w:r>
      <w:r w:rsidR="008E4CD4">
        <w:rPr>
          <w:rFonts w:cstheme="minorHAnsi"/>
        </w:rPr>
        <w:t>belatedly</w:t>
      </w:r>
      <w:r w:rsidR="00E03C67">
        <w:rPr>
          <w:rFonts w:cstheme="minorHAnsi"/>
        </w:rPr>
        <w:t>,</w:t>
      </w:r>
      <w:r w:rsidR="008E4CD4">
        <w:rPr>
          <w:rFonts w:cstheme="minorHAnsi"/>
        </w:rPr>
        <w:t xml:space="preserve"> </w:t>
      </w:r>
      <w:r w:rsidR="00CF76BD">
        <w:rPr>
          <w:rFonts w:cstheme="minorHAnsi"/>
        </w:rPr>
        <w:t xml:space="preserve">is </w:t>
      </w:r>
      <w:r w:rsidR="00ED61D7">
        <w:rPr>
          <w:rFonts w:cstheme="minorHAnsi"/>
        </w:rPr>
        <w:t xml:space="preserve">now being addressed therapeutically </w:t>
      </w:r>
      <w:r w:rsidR="00CF76BD">
        <w:rPr>
          <w:rFonts w:cstheme="minorHAnsi"/>
        </w:rPr>
        <w:t xml:space="preserve">in </w:t>
      </w:r>
      <w:r w:rsidR="00ED61D7">
        <w:rPr>
          <w:rFonts w:cstheme="minorHAnsi"/>
        </w:rPr>
        <w:t xml:space="preserve">hospitalised patients. </w:t>
      </w:r>
      <w:r w:rsidR="00C84ABB">
        <w:rPr>
          <w:rFonts w:cstheme="minorHAnsi"/>
        </w:rPr>
        <w:t xml:space="preserve"> </w:t>
      </w:r>
      <w:r w:rsidR="00ED61D7" w:rsidRPr="00ED61D7">
        <w:rPr>
          <w:rFonts w:cstheme="minorHAnsi"/>
        </w:rPr>
        <w:t>There is a</w:t>
      </w:r>
      <w:r w:rsidR="00CF76BD">
        <w:rPr>
          <w:rFonts w:cstheme="minorHAnsi"/>
        </w:rPr>
        <w:t>n urgent</w:t>
      </w:r>
      <w:r w:rsidR="00ED61D7" w:rsidRPr="00ED61D7">
        <w:rPr>
          <w:rFonts w:cstheme="minorHAnsi"/>
        </w:rPr>
        <w:t xml:space="preserve"> need in the UK to upgrade the role of diagnostic autopsy to allow information and knowledge to be gained more quickly in future pandemics</w:t>
      </w:r>
      <w:r w:rsidR="00E03C67">
        <w:rPr>
          <w:rFonts w:cstheme="minorHAnsi"/>
        </w:rPr>
        <w:t xml:space="preserve"> of novel diseases</w:t>
      </w:r>
      <w:r w:rsidR="00ED61D7" w:rsidRPr="00ED61D7">
        <w:rPr>
          <w:rFonts w:cstheme="minorHAnsi"/>
        </w:rPr>
        <w:t>.</w:t>
      </w:r>
    </w:p>
    <w:p w14:paraId="0051E173" w14:textId="6042A429" w:rsidR="004C7410" w:rsidRDefault="004C7410" w:rsidP="00E6210B">
      <w:pPr>
        <w:keepNext/>
        <w:autoSpaceDE w:val="0"/>
        <w:autoSpaceDN w:val="0"/>
        <w:adjustRightInd w:val="0"/>
        <w:spacing w:after="0" w:line="240" w:lineRule="auto"/>
        <w:jc w:val="both"/>
        <w:rPr>
          <w:rFonts w:cstheme="minorHAnsi"/>
        </w:rPr>
      </w:pPr>
    </w:p>
    <w:p w14:paraId="77A09940" w14:textId="1E4357E1" w:rsidR="004C7410" w:rsidRDefault="002F6325" w:rsidP="00E6210B">
      <w:pPr>
        <w:keepNext/>
        <w:autoSpaceDE w:val="0"/>
        <w:autoSpaceDN w:val="0"/>
        <w:adjustRightInd w:val="0"/>
        <w:spacing w:after="0" w:line="240" w:lineRule="auto"/>
        <w:jc w:val="both"/>
        <w:rPr>
          <w:rFonts w:cstheme="minorHAnsi"/>
        </w:rPr>
      </w:pPr>
      <w:r>
        <w:rPr>
          <w:rFonts w:cstheme="minorHAnsi"/>
        </w:rPr>
        <w:t xml:space="preserve">A truly </w:t>
      </w:r>
      <w:r w:rsidRPr="002D4554">
        <w:rPr>
          <w:rFonts w:cstheme="minorHAnsi"/>
          <w:b/>
          <w:bCs/>
        </w:rPr>
        <w:t>National Frame</w:t>
      </w:r>
      <w:r w:rsidR="0001039C" w:rsidRPr="002D4554">
        <w:rPr>
          <w:rFonts w:cstheme="minorHAnsi"/>
          <w:b/>
          <w:bCs/>
        </w:rPr>
        <w:t>work</w:t>
      </w:r>
      <w:r w:rsidR="0001039C">
        <w:rPr>
          <w:rFonts w:cstheme="minorHAnsi"/>
        </w:rPr>
        <w:t xml:space="preserve"> to engage in selection for medicines for global pandemics </w:t>
      </w:r>
      <w:r w:rsidR="00D8363C">
        <w:rPr>
          <w:rFonts w:cstheme="minorHAnsi"/>
        </w:rPr>
        <w:t xml:space="preserve">would avoid </w:t>
      </w:r>
      <w:r w:rsidR="00E339E9">
        <w:rPr>
          <w:rFonts w:cstheme="minorHAnsi"/>
        </w:rPr>
        <w:t>the</w:t>
      </w:r>
      <w:r w:rsidR="00D8363C">
        <w:rPr>
          <w:rFonts w:cstheme="minorHAnsi"/>
        </w:rPr>
        <w:t xml:space="preserve"> issues of poor communication and lack of transparency and could collaborate internationally to </w:t>
      </w:r>
      <w:r w:rsidR="003438E3">
        <w:rPr>
          <w:rFonts w:cstheme="minorHAnsi"/>
        </w:rPr>
        <w:t xml:space="preserve">optimise global response. It would answer the criticisms that have been made about the current UK </w:t>
      </w:r>
      <w:r w:rsidR="00754235">
        <w:rPr>
          <w:rFonts w:cstheme="minorHAnsi"/>
        </w:rPr>
        <w:t>response</w:t>
      </w:r>
      <w:r w:rsidR="005D4AAC">
        <w:rPr>
          <w:rFonts w:cstheme="minorHAnsi"/>
          <w:vertAlign w:val="superscript"/>
        </w:rPr>
        <w:t>7</w:t>
      </w:r>
      <w:r w:rsidR="000A022A">
        <w:rPr>
          <w:rFonts w:cstheme="minorHAnsi"/>
        </w:rPr>
        <w:t xml:space="preserve">.  </w:t>
      </w:r>
      <w:r w:rsidR="0001099F">
        <w:rPr>
          <w:rFonts w:cstheme="minorHAnsi"/>
        </w:rPr>
        <w:t xml:space="preserve">It is </w:t>
      </w:r>
      <w:r w:rsidR="00754235">
        <w:rPr>
          <w:rFonts w:cstheme="minorHAnsi"/>
        </w:rPr>
        <w:t xml:space="preserve">proposed </w:t>
      </w:r>
      <w:r w:rsidR="0001099F">
        <w:rPr>
          <w:rFonts w:cstheme="minorHAnsi"/>
        </w:rPr>
        <w:t xml:space="preserve">that </w:t>
      </w:r>
      <w:r w:rsidR="00A44DCE">
        <w:rPr>
          <w:rFonts w:cstheme="minorHAnsi"/>
        </w:rPr>
        <w:t xml:space="preserve">the </w:t>
      </w:r>
      <w:r w:rsidR="0001099F">
        <w:rPr>
          <w:rFonts w:cstheme="minorHAnsi"/>
        </w:rPr>
        <w:t xml:space="preserve">membership and working practices of all committees engaged in providing advice to Government should be made public, minutes of meetings published and reasons for decisions made transparently reported. </w:t>
      </w:r>
      <w:r w:rsidR="00942347">
        <w:rPr>
          <w:rFonts w:cstheme="minorHAnsi"/>
        </w:rPr>
        <w:t xml:space="preserve">This is a specific </w:t>
      </w:r>
      <w:r w:rsidR="00EE41A1">
        <w:rPr>
          <w:rFonts w:cstheme="minorHAnsi"/>
        </w:rPr>
        <w:t xml:space="preserve">answer the item 6 </w:t>
      </w:r>
      <w:r w:rsidR="003A41A7">
        <w:rPr>
          <w:rFonts w:cstheme="minorHAnsi"/>
        </w:rPr>
        <w:t xml:space="preserve">of </w:t>
      </w:r>
      <w:r w:rsidR="00EE41A1">
        <w:rPr>
          <w:rFonts w:cstheme="minorHAnsi"/>
        </w:rPr>
        <w:t>the terms of reference.</w:t>
      </w:r>
    </w:p>
    <w:p w14:paraId="54B48968" w14:textId="2D08434F" w:rsidR="007C553F" w:rsidRDefault="007C553F" w:rsidP="00E6210B">
      <w:pPr>
        <w:keepNext/>
        <w:autoSpaceDE w:val="0"/>
        <w:autoSpaceDN w:val="0"/>
        <w:adjustRightInd w:val="0"/>
        <w:spacing w:after="0" w:line="240" w:lineRule="auto"/>
        <w:jc w:val="both"/>
        <w:rPr>
          <w:rFonts w:cstheme="minorHAnsi"/>
        </w:rPr>
      </w:pPr>
    </w:p>
    <w:p w14:paraId="2A9E56EE" w14:textId="5AC4ED2C" w:rsidR="00804C11" w:rsidRDefault="00804C11" w:rsidP="00EC2761">
      <w:pPr>
        <w:autoSpaceDE w:val="0"/>
        <w:autoSpaceDN w:val="0"/>
        <w:adjustRightInd w:val="0"/>
        <w:spacing w:after="0" w:line="240" w:lineRule="auto"/>
        <w:jc w:val="both"/>
        <w:rPr>
          <w:rFonts w:eastAsia="Times New Roman" w:cstheme="minorHAnsi"/>
          <w:b/>
          <w:bCs/>
          <w:color w:val="FF0000"/>
          <w:sz w:val="28"/>
          <w:szCs w:val="28"/>
          <w:lang w:eastAsia="en-GB"/>
        </w:rPr>
      </w:pPr>
      <w:r w:rsidRPr="00D85A9E">
        <w:rPr>
          <w:rFonts w:eastAsia="Times New Roman" w:cstheme="minorHAnsi"/>
          <w:b/>
          <w:bCs/>
          <w:color w:val="FF0000"/>
          <w:sz w:val="28"/>
          <w:szCs w:val="28"/>
          <w:lang w:eastAsia="en-GB"/>
        </w:rPr>
        <w:t>Disease tracking</w:t>
      </w:r>
      <w:r w:rsidR="0086276F" w:rsidRPr="00D85A9E">
        <w:rPr>
          <w:rFonts w:eastAsia="Times New Roman" w:cstheme="minorHAnsi"/>
          <w:b/>
          <w:bCs/>
          <w:color w:val="FF0000"/>
          <w:sz w:val="28"/>
          <w:szCs w:val="28"/>
          <w:lang w:eastAsia="en-GB"/>
        </w:rPr>
        <w:t xml:space="preserve"> and testing</w:t>
      </w:r>
    </w:p>
    <w:p w14:paraId="4FCBA4D3" w14:textId="77777777" w:rsidR="00D85A9E" w:rsidRPr="00D85A9E" w:rsidRDefault="00D85A9E" w:rsidP="00EC2761">
      <w:pPr>
        <w:autoSpaceDE w:val="0"/>
        <w:autoSpaceDN w:val="0"/>
        <w:adjustRightInd w:val="0"/>
        <w:spacing w:after="0" w:line="240" w:lineRule="auto"/>
        <w:jc w:val="both"/>
        <w:rPr>
          <w:rFonts w:eastAsia="Times New Roman" w:cstheme="minorHAnsi"/>
          <w:b/>
          <w:bCs/>
          <w:color w:val="FF0000"/>
          <w:sz w:val="28"/>
          <w:szCs w:val="28"/>
          <w:lang w:eastAsia="en-GB"/>
        </w:rPr>
      </w:pPr>
    </w:p>
    <w:p w14:paraId="143A35C0" w14:textId="430DEF38" w:rsidR="00AE286D" w:rsidRDefault="00A317A6" w:rsidP="00447189">
      <w:pPr>
        <w:autoSpaceDE w:val="0"/>
        <w:autoSpaceDN w:val="0"/>
        <w:adjustRightInd w:val="0"/>
        <w:spacing w:after="0" w:line="240" w:lineRule="auto"/>
        <w:jc w:val="both"/>
        <w:rPr>
          <w:rFonts w:eastAsia="Times New Roman" w:cstheme="minorHAnsi"/>
          <w:color w:val="000000" w:themeColor="text1"/>
          <w:lang w:eastAsia="en-GB"/>
        </w:rPr>
      </w:pPr>
      <w:r>
        <w:rPr>
          <w:rFonts w:eastAsia="Times New Roman" w:cstheme="minorHAnsi"/>
          <w:color w:val="000000" w:themeColor="text1"/>
          <w:lang w:eastAsia="en-GB"/>
        </w:rPr>
        <w:t xml:space="preserve">We would see a </w:t>
      </w:r>
      <w:r w:rsidRPr="007053D8">
        <w:rPr>
          <w:rFonts w:eastAsia="Times New Roman" w:cstheme="minorHAnsi"/>
          <w:b/>
          <w:bCs/>
          <w:color w:val="000000" w:themeColor="text1"/>
          <w:lang w:eastAsia="en-GB"/>
        </w:rPr>
        <w:t>National Framework</w:t>
      </w:r>
      <w:r>
        <w:rPr>
          <w:rFonts w:eastAsia="Times New Roman" w:cstheme="minorHAnsi"/>
          <w:color w:val="000000" w:themeColor="text1"/>
          <w:lang w:eastAsia="en-GB"/>
        </w:rPr>
        <w:t xml:space="preserve"> for medicines development extend to </w:t>
      </w:r>
      <w:r w:rsidR="006916D8">
        <w:rPr>
          <w:rFonts w:eastAsia="Times New Roman" w:cstheme="minorHAnsi"/>
          <w:color w:val="000000" w:themeColor="text1"/>
          <w:lang w:eastAsia="en-GB"/>
        </w:rPr>
        <w:t>planning the development of diagnostic</w:t>
      </w:r>
      <w:r w:rsidR="00747182">
        <w:rPr>
          <w:rFonts w:eastAsia="Times New Roman" w:cstheme="minorHAnsi"/>
          <w:color w:val="000000" w:themeColor="text1"/>
          <w:lang w:eastAsia="en-GB"/>
        </w:rPr>
        <w:t>s</w:t>
      </w:r>
      <w:r w:rsidR="006916D8">
        <w:rPr>
          <w:rFonts w:eastAsia="Times New Roman" w:cstheme="minorHAnsi"/>
          <w:color w:val="000000" w:themeColor="text1"/>
          <w:lang w:eastAsia="en-GB"/>
        </w:rPr>
        <w:t xml:space="preserve"> for th</w:t>
      </w:r>
      <w:r w:rsidR="003A41A7">
        <w:rPr>
          <w:rFonts w:eastAsia="Times New Roman" w:cstheme="minorHAnsi"/>
          <w:color w:val="000000" w:themeColor="text1"/>
          <w:lang w:eastAsia="en-GB"/>
        </w:rPr>
        <w:t>is</w:t>
      </w:r>
      <w:r w:rsidR="006916D8">
        <w:rPr>
          <w:rFonts w:eastAsia="Times New Roman" w:cstheme="minorHAnsi"/>
          <w:color w:val="000000" w:themeColor="text1"/>
          <w:lang w:eastAsia="en-GB"/>
        </w:rPr>
        <w:t xml:space="preserve"> and future </w:t>
      </w:r>
      <w:r w:rsidR="001902A6">
        <w:rPr>
          <w:rFonts w:eastAsia="Times New Roman" w:cstheme="minorHAnsi"/>
          <w:color w:val="000000" w:themeColor="text1"/>
          <w:lang w:eastAsia="en-GB"/>
        </w:rPr>
        <w:t xml:space="preserve">pandemics. This body could </w:t>
      </w:r>
      <w:r w:rsidR="003C4374">
        <w:rPr>
          <w:rFonts w:eastAsia="Times New Roman" w:cstheme="minorHAnsi"/>
          <w:color w:val="000000" w:themeColor="text1"/>
          <w:lang w:eastAsia="en-GB"/>
        </w:rPr>
        <w:t>bring clarity and coordinate the provision</w:t>
      </w:r>
      <w:r w:rsidR="007053D8">
        <w:rPr>
          <w:rFonts w:eastAsia="Times New Roman" w:cstheme="minorHAnsi"/>
          <w:color w:val="000000" w:themeColor="text1"/>
          <w:lang w:eastAsia="en-GB"/>
        </w:rPr>
        <w:t xml:space="preserve"> </w:t>
      </w:r>
      <w:r w:rsidR="009D5E93">
        <w:rPr>
          <w:rFonts w:eastAsia="Times New Roman" w:cstheme="minorHAnsi"/>
          <w:color w:val="000000" w:themeColor="text1"/>
          <w:lang w:eastAsia="en-GB"/>
        </w:rPr>
        <w:t xml:space="preserve">to cover </w:t>
      </w:r>
      <w:r w:rsidR="00747182">
        <w:rPr>
          <w:rFonts w:eastAsia="Times New Roman" w:cstheme="minorHAnsi"/>
          <w:color w:val="000000" w:themeColor="text1"/>
          <w:lang w:eastAsia="en-GB"/>
        </w:rPr>
        <w:t>both</w:t>
      </w:r>
      <w:r w:rsidR="009D5E93">
        <w:rPr>
          <w:rFonts w:eastAsia="Times New Roman" w:cstheme="minorHAnsi"/>
          <w:color w:val="000000" w:themeColor="text1"/>
          <w:lang w:eastAsia="en-GB"/>
        </w:rPr>
        <w:t xml:space="preserve"> Public Health</w:t>
      </w:r>
      <w:r w:rsidR="00D55949">
        <w:rPr>
          <w:rFonts w:eastAsia="Times New Roman" w:cstheme="minorHAnsi"/>
          <w:color w:val="000000" w:themeColor="text1"/>
          <w:lang w:eastAsia="en-GB"/>
        </w:rPr>
        <w:t xml:space="preserve"> (track and trace) and clinical medic</w:t>
      </w:r>
      <w:r w:rsidR="00747182">
        <w:rPr>
          <w:rFonts w:eastAsia="Times New Roman" w:cstheme="minorHAnsi"/>
          <w:color w:val="000000" w:themeColor="text1"/>
          <w:lang w:eastAsia="en-GB"/>
        </w:rPr>
        <w:t>al needs</w:t>
      </w:r>
      <w:r w:rsidR="00D55949">
        <w:rPr>
          <w:rFonts w:eastAsia="Times New Roman" w:cstheme="minorHAnsi"/>
          <w:color w:val="000000" w:themeColor="text1"/>
          <w:lang w:eastAsia="en-GB"/>
        </w:rPr>
        <w:t xml:space="preserve"> (diagnosis, therapy deci</w:t>
      </w:r>
      <w:r w:rsidR="00AA02BF">
        <w:rPr>
          <w:rFonts w:eastAsia="Times New Roman" w:cstheme="minorHAnsi"/>
          <w:color w:val="000000" w:themeColor="text1"/>
          <w:lang w:eastAsia="en-GB"/>
        </w:rPr>
        <w:t xml:space="preserve">sions and research). It would avoid </w:t>
      </w:r>
      <w:r w:rsidR="009C5FF1">
        <w:rPr>
          <w:rFonts w:eastAsia="Times New Roman" w:cstheme="minorHAnsi"/>
          <w:color w:val="000000" w:themeColor="text1"/>
          <w:lang w:eastAsia="en-GB"/>
        </w:rPr>
        <w:t xml:space="preserve">the </w:t>
      </w:r>
      <w:r w:rsidR="00AA02BF">
        <w:t>initia</w:t>
      </w:r>
      <w:r w:rsidR="009C5FF1">
        <w:t>l</w:t>
      </w:r>
      <w:r w:rsidR="00AA02BF">
        <w:t xml:space="preserve"> handicap</w:t>
      </w:r>
      <w:r w:rsidR="009C5FF1">
        <w:t xml:space="preserve"> of </w:t>
      </w:r>
      <w:r w:rsidR="00AA02BF">
        <w:t xml:space="preserve">limited provision of PHE and NHS clinical </w:t>
      </w:r>
      <w:r w:rsidR="0024012A">
        <w:t xml:space="preserve">and regional genetics </w:t>
      </w:r>
      <w:r w:rsidR="00AA02BF">
        <w:t>laboratory infrastructure where PCR-based testing is routin</w:t>
      </w:r>
      <w:r w:rsidR="00991C4A">
        <w:t>e</w:t>
      </w:r>
      <w:r w:rsidR="00AA02BF">
        <w:t>.  Other countries with more diversified and innovative (often private) clinical laboratories were able to ramp up rates of testing much more quickly than the UK.</w:t>
      </w:r>
      <w:r w:rsidR="00991C4A">
        <w:t xml:space="preserve"> A further limitation of the UK </w:t>
      </w:r>
      <w:r w:rsidR="007E7E98">
        <w:t>response to COVID-19</w:t>
      </w:r>
      <w:r w:rsidR="00AE286D">
        <w:rPr>
          <w:rFonts w:eastAsia="Times New Roman" w:cstheme="minorHAnsi"/>
          <w:color w:val="000000" w:themeColor="text1"/>
          <w:lang w:eastAsia="en-GB"/>
        </w:rPr>
        <w:t xml:space="preserve"> was</w:t>
      </w:r>
      <w:r w:rsidR="006D75B9">
        <w:rPr>
          <w:rFonts w:eastAsia="Times New Roman" w:cstheme="minorHAnsi"/>
          <w:color w:val="000000" w:themeColor="text1"/>
          <w:lang w:eastAsia="en-GB"/>
        </w:rPr>
        <w:t xml:space="preserve"> compounded by the lack of availability of swabs, reagents and </w:t>
      </w:r>
      <w:r w:rsidR="00FA6BE7">
        <w:rPr>
          <w:rFonts w:eastAsia="Times New Roman" w:cstheme="minorHAnsi"/>
          <w:color w:val="000000" w:themeColor="text1"/>
          <w:lang w:eastAsia="en-GB"/>
        </w:rPr>
        <w:t>diagnostic platform equipment</w:t>
      </w:r>
      <w:r w:rsidR="006D75B9">
        <w:rPr>
          <w:rFonts w:eastAsia="Times New Roman" w:cstheme="minorHAnsi"/>
          <w:color w:val="000000" w:themeColor="text1"/>
          <w:lang w:eastAsia="en-GB"/>
        </w:rPr>
        <w:t xml:space="preserve"> </w:t>
      </w:r>
      <w:r w:rsidR="00885B18">
        <w:rPr>
          <w:rFonts w:eastAsia="Times New Roman" w:cstheme="minorHAnsi"/>
          <w:color w:val="000000" w:themeColor="text1"/>
          <w:lang w:eastAsia="en-GB"/>
        </w:rPr>
        <w:t>caused by supply problems associated with factory shutdowns in major manufacturing countries early in the evolution of the pandemic.</w:t>
      </w:r>
    </w:p>
    <w:p w14:paraId="5A9A13A2" w14:textId="77777777" w:rsidR="00210249" w:rsidRDefault="00210249" w:rsidP="00447189">
      <w:pPr>
        <w:autoSpaceDE w:val="0"/>
        <w:autoSpaceDN w:val="0"/>
        <w:adjustRightInd w:val="0"/>
        <w:spacing w:after="0" w:line="240" w:lineRule="auto"/>
        <w:jc w:val="both"/>
        <w:rPr>
          <w:rFonts w:eastAsia="Times New Roman" w:cstheme="minorHAnsi"/>
          <w:color w:val="000000" w:themeColor="text1"/>
          <w:lang w:eastAsia="en-GB"/>
        </w:rPr>
      </w:pPr>
    </w:p>
    <w:p w14:paraId="47BA1F5D" w14:textId="259A18CA" w:rsidR="00F66C80" w:rsidRDefault="009829FC" w:rsidP="00447189">
      <w:pPr>
        <w:autoSpaceDE w:val="0"/>
        <w:autoSpaceDN w:val="0"/>
        <w:adjustRightInd w:val="0"/>
        <w:spacing w:after="0" w:line="240" w:lineRule="auto"/>
        <w:jc w:val="both"/>
        <w:rPr>
          <w:rFonts w:eastAsia="Times New Roman" w:cstheme="minorHAnsi"/>
          <w:color w:val="000000" w:themeColor="text1"/>
          <w:lang w:eastAsia="en-GB"/>
        </w:rPr>
      </w:pPr>
      <w:r>
        <w:rPr>
          <w:rFonts w:eastAsia="Times New Roman" w:cstheme="minorHAnsi"/>
          <w:color w:val="000000" w:themeColor="text1"/>
          <w:lang w:eastAsia="en-GB"/>
        </w:rPr>
        <w:t>Although the DHSC rapidly scaled up testing capacity, the length of time taken, and the poor understanding of the infrastructure requirement</w:t>
      </w:r>
      <w:r w:rsidR="00A1784E">
        <w:rPr>
          <w:rFonts w:eastAsia="Times New Roman" w:cstheme="minorHAnsi"/>
          <w:color w:val="000000" w:themeColor="text1"/>
          <w:lang w:eastAsia="en-GB"/>
        </w:rPr>
        <w:t xml:space="preserve">s for logging samples received, </w:t>
      </w:r>
      <w:r w:rsidR="00A95035">
        <w:rPr>
          <w:rFonts w:eastAsia="Times New Roman" w:cstheme="minorHAnsi"/>
          <w:color w:val="000000" w:themeColor="text1"/>
          <w:lang w:eastAsia="en-GB"/>
        </w:rPr>
        <w:t xml:space="preserve">including confirmation of the identity of the person giving the sample, sample processing </w:t>
      </w:r>
      <w:r w:rsidR="00A1784E">
        <w:rPr>
          <w:rFonts w:eastAsia="Times New Roman" w:cstheme="minorHAnsi"/>
          <w:color w:val="000000" w:themeColor="text1"/>
          <w:lang w:eastAsia="en-GB"/>
        </w:rPr>
        <w:t>and report</w:t>
      </w:r>
      <w:r w:rsidR="00A95035">
        <w:rPr>
          <w:rFonts w:eastAsia="Times New Roman" w:cstheme="minorHAnsi"/>
          <w:color w:val="000000" w:themeColor="text1"/>
          <w:lang w:eastAsia="en-GB"/>
        </w:rPr>
        <w:t>ing to relevant parties (including local public health services)</w:t>
      </w:r>
      <w:r w:rsidR="00A1784E">
        <w:rPr>
          <w:rFonts w:eastAsia="Times New Roman" w:cstheme="minorHAnsi"/>
          <w:color w:val="000000" w:themeColor="text1"/>
          <w:lang w:eastAsia="en-GB"/>
        </w:rPr>
        <w:t xml:space="preserve"> has continued to</w:t>
      </w:r>
      <w:r w:rsidR="00F66C80">
        <w:rPr>
          <w:rFonts w:eastAsia="Times New Roman" w:cstheme="minorHAnsi"/>
          <w:color w:val="000000" w:themeColor="text1"/>
          <w:lang w:eastAsia="en-GB"/>
        </w:rPr>
        <w:t xml:space="preserve"> limit </w:t>
      </w:r>
      <w:r w:rsidR="00A1784E">
        <w:rPr>
          <w:rFonts w:eastAsia="Times New Roman" w:cstheme="minorHAnsi"/>
          <w:color w:val="000000" w:themeColor="text1"/>
          <w:lang w:eastAsia="en-GB"/>
        </w:rPr>
        <w:t>efforts to track disease</w:t>
      </w:r>
      <w:r w:rsidR="00A95035">
        <w:rPr>
          <w:rFonts w:eastAsia="Times New Roman" w:cstheme="minorHAnsi"/>
          <w:color w:val="000000" w:themeColor="text1"/>
          <w:lang w:eastAsia="en-GB"/>
        </w:rPr>
        <w:t xml:space="preserve">. </w:t>
      </w:r>
      <w:r w:rsidR="00F30D6F">
        <w:rPr>
          <w:rFonts w:eastAsia="Times New Roman" w:cstheme="minorHAnsi"/>
          <w:color w:val="000000" w:themeColor="text1"/>
          <w:lang w:eastAsia="en-GB"/>
        </w:rPr>
        <w:t xml:space="preserve">As work progresses to get this service </w:t>
      </w:r>
      <w:r w:rsidR="00C5438A">
        <w:rPr>
          <w:rFonts w:eastAsia="Times New Roman" w:cstheme="minorHAnsi"/>
          <w:color w:val="000000" w:themeColor="text1"/>
          <w:lang w:eastAsia="en-GB"/>
        </w:rPr>
        <w:t>fully operational the key elements needed are to i</w:t>
      </w:r>
      <w:r w:rsidR="00A95035">
        <w:rPr>
          <w:rFonts w:eastAsia="Times New Roman" w:cstheme="minorHAnsi"/>
          <w:color w:val="000000" w:themeColor="text1"/>
          <w:lang w:eastAsia="en-GB"/>
        </w:rPr>
        <w:t xml:space="preserve">dentify </w:t>
      </w:r>
      <w:r w:rsidR="00396E33">
        <w:rPr>
          <w:rFonts w:eastAsia="Times New Roman" w:cstheme="minorHAnsi"/>
          <w:color w:val="000000" w:themeColor="text1"/>
          <w:lang w:eastAsia="en-GB"/>
        </w:rPr>
        <w:t xml:space="preserve">local outbreaks </w:t>
      </w:r>
      <w:r w:rsidR="00A1784E">
        <w:rPr>
          <w:rFonts w:eastAsia="Times New Roman" w:cstheme="minorHAnsi"/>
          <w:color w:val="000000" w:themeColor="text1"/>
          <w:lang w:eastAsia="en-GB"/>
        </w:rPr>
        <w:t xml:space="preserve">and </w:t>
      </w:r>
      <w:r w:rsidR="00535CB6">
        <w:rPr>
          <w:rFonts w:eastAsia="Times New Roman" w:cstheme="minorHAnsi"/>
          <w:color w:val="000000" w:themeColor="text1"/>
          <w:lang w:eastAsia="en-GB"/>
        </w:rPr>
        <w:t xml:space="preserve">for clinical trials it is essential to have fast return of results of the tests </w:t>
      </w:r>
      <w:r w:rsidR="00866546">
        <w:rPr>
          <w:rFonts w:eastAsia="Times New Roman" w:cstheme="minorHAnsi"/>
          <w:color w:val="000000" w:themeColor="text1"/>
          <w:lang w:eastAsia="en-GB"/>
        </w:rPr>
        <w:t xml:space="preserve">otherwise recruitment Is limited. </w:t>
      </w:r>
      <w:r w:rsidR="00A1784E">
        <w:rPr>
          <w:rFonts w:eastAsia="Times New Roman" w:cstheme="minorHAnsi"/>
          <w:color w:val="000000" w:themeColor="text1"/>
          <w:lang w:eastAsia="en-GB"/>
        </w:rPr>
        <w:t xml:space="preserve"> </w:t>
      </w:r>
      <w:r w:rsidR="00BD21D7">
        <w:rPr>
          <w:rFonts w:eastAsia="Times New Roman" w:cstheme="minorHAnsi"/>
          <w:color w:val="000000" w:themeColor="text1"/>
          <w:lang w:eastAsia="en-GB"/>
        </w:rPr>
        <w:t xml:space="preserve">A positive test is an absolute </w:t>
      </w:r>
      <w:r w:rsidR="00DC41F7">
        <w:rPr>
          <w:rFonts w:eastAsia="Times New Roman" w:cstheme="minorHAnsi"/>
          <w:color w:val="000000" w:themeColor="text1"/>
          <w:lang w:eastAsia="en-GB"/>
        </w:rPr>
        <w:t xml:space="preserve">requirement for a patient to enter </w:t>
      </w:r>
      <w:r w:rsidR="00E634D8">
        <w:rPr>
          <w:rFonts w:eastAsia="Times New Roman" w:cstheme="minorHAnsi"/>
          <w:color w:val="000000" w:themeColor="text1"/>
          <w:lang w:eastAsia="en-GB"/>
        </w:rPr>
        <w:t xml:space="preserve">a COVID-19 </w:t>
      </w:r>
      <w:r w:rsidR="00DC41F7">
        <w:rPr>
          <w:rFonts w:eastAsia="Times New Roman" w:cstheme="minorHAnsi"/>
          <w:color w:val="000000" w:themeColor="text1"/>
          <w:lang w:eastAsia="en-GB"/>
        </w:rPr>
        <w:t xml:space="preserve">study. </w:t>
      </w:r>
      <w:r w:rsidR="002019CD">
        <w:rPr>
          <w:rFonts w:eastAsia="Times New Roman" w:cstheme="minorHAnsi"/>
          <w:color w:val="000000" w:themeColor="text1"/>
          <w:lang w:eastAsia="en-GB"/>
        </w:rPr>
        <w:t xml:space="preserve">These problems speak to a </w:t>
      </w:r>
      <w:r w:rsidR="002019CD" w:rsidRPr="00E634D8">
        <w:rPr>
          <w:rFonts w:eastAsia="Times New Roman" w:cstheme="minorHAnsi"/>
          <w:b/>
          <w:bCs/>
          <w:color w:val="000000" w:themeColor="text1"/>
          <w:lang w:eastAsia="en-GB"/>
        </w:rPr>
        <w:t>National Fram</w:t>
      </w:r>
      <w:r w:rsidR="003412DE" w:rsidRPr="00E634D8">
        <w:rPr>
          <w:rFonts w:eastAsia="Times New Roman" w:cstheme="minorHAnsi"/>
          <w:b/>
          <w:bCs/>
          <w:color w:val="000000" w:themeColor="text1"/>
          <w:lang w:eastAsia="en-GB"/>
        </w:rPr>
        <w:t>e</w:t>
      </w:r>
      <w:r w:rsidR="002019CD" w:rsidRPr="00E634D8">
        <w:rPr>
          <w:rFonts w:eastAsia="Times New Roman" w:cstheme="minorHAnsi"/>
          <w:b/>
          <w:bCs/>
          <w:color w:val="000000" w:themeColor="text1"/>
          <w:lang w:eastAsia="en-GB"/>
        </w:rPr>
        <w:t>work</w:t>
      </w:r>
      <w:r w:rsidR="003412DE">
        <w:rPr>
          <w:rFonts w:eastAsia="Times New Roman" w:cstheme="minorHAnsi"/>
          <w:color w:val="000000" w:themeColor="text1"/>
          <w:lang w:eastAsia="en-GB"/>
        </w:rPr>
        <w:t xml:space="preserve"> for diagnostic</w:t>
      </w:r>
      <w:r w:rsidR="005215BB">
        <w:rPr>
          <w:rFonts w:eastAsia="Times New Roman" w:cstheme="minorHAnsi"/>
          <w:color w:val="000000" w:themeColor="text1"/>
          <w:lang w:eastAsia="en-GB"/>
        </w:rPr>
        <w:t>s</w:t>
      </w:r>
      <w:r w:rsidR="003412DE">
        <w:rPr>
          <w:rFonts w:eastAsia="Times New Roman" w:cstheme="minorHAnsi"/>
          <w:color w:val="000000" w:themeColor="text1"/>
          <w:lang w:eastAsia="en-GB"/>
        </w:rPr>
        <w:t xml:space="preserve"> that integrates the technology and logistics infrastructure.  </w:t>
      </w:r>
    </w:p>
    <w:p w14:paraId="23B5D49A" w14:textId="77777777" w:rsidR="00C84F37" w:rsidRDefault="00C84F37" w:rsidP="00447189">
      <w:pPr>
        <w:autoSpaceDE w:val="0"/>
        <w:autoSpaceDN w:val="0"/>
        <w:adjustRightInd w:val="0"/>
        <w:spacing w:after="0" w:line="240" w:lineRule="auto"/>
        <w:jc w:val="both"/>
        <w:rPr>
          <w:rFonts w:eastAsia="Times New Roman" w:cstheme="minorHAnsi"/>
          <w:color w:val="000000" w:themeColor="text1"/>
          <w:lang w:eastAsia="en-GB"/>
        </w:rPr>
      </w:pPr>
    </w:p>
    <w:p w14:paraId="4C873983" w14:textId="18645253" w:rsidR="00092152" w:rsidRDefault="00644DFE" w:rsidP="00447189">
      <w:pPr>
        <w:autoSpaceDE w:val="0"/>
        <w:autoSpaceDN w:val="0"/>
        <w:adjustRightInd w:val="0"/>
        <w:spacing w:after="0" w:line="240" w:lineRule="auto"/>
        <w:jc w:val="both"/>
        <w:rPr>
          <w:rFonts w:eastAsia="Times New Roman" w:cstheme="minorHAnsi"/>
          <w:color w:val="4D4D4D"/>
          <w:lang w:eastAsia="en-GB"/>
        </w:rPr>
      </w:pPr>
      <w:r w:rsidRPr="00644DFE">
        <w:rPr>
          <w:rFonts w:cstheme="minorHAnsi"/>
        </w:rPr>
        <w:t>The UK has, through its vibrant diagnostics industry a tremendous capacity for addressing “</w:t>
      </w:r>
      <w:r w:rsidRPr="000D096C">
        <w:rPr>
          <w:rFonts w:eastAsia="Times New Roman" w:cstheme="minorHAnsi"/>
          <w:color w:val="4D4D4D"/>
          <w:lang w:eastAsia="en-GB"/>
        </w:rPr>
        <w:t>the development of testing, diagnostic methods and technologies”.  Unfortunately, it seems almost none of this capability has been used.  It is hoped that a legacy of the reaction to the pandemic might be the establishment of a robust testing infrastructure together with a diagnostics research &amp; development management process combining academic, clinical and industry scientists to enable the future rapid development and deployment of any required novel tests.</w:t>
      </w:r>
    </w:p>
    <w:p w14:paraId="5BB6FCB0" w14:textId="77777777" w:rsidR="00D3519C" w:rsidRDefault="00D3519C" w:rsidP="00447189">
      <w:pPr>
        <w:autoSpaceDE w:val="0"/>
        <w:autoSpaceDN w:val="0"/>
        <w:adjustRightInd w:val="0"/>
        <w:spacing w:after="0" w:line="240" w:lineRule="auto"/>
        <w:jc w:val="both"/>
        <w:rPr>
          <w:rFonts w:eastAsia="Times New Roman" w:cstheme="minorHAnsi"/>
          <w:color w:val="000000" w:themeColor="text1"/>
          <w:lang w:eastAsia="en-GB"/>
        </w:rPr>
      </w:pPr>
    </w:p>
    <w:p w14:paraId="5F13BDE9" w14:textId="7C82FF3B" w:rsidR="009C4139" w:rsidRDefault="00092152" w:rsidP="00447189">
      <w:pPr>
        <w:autoSpaceDE w:val="0"/>
        <w:autoSpaceDN w:val="0"/>
        <w:adjustRightInd w:val="0"/>
        <w:spacing w:after="0" w:line="240" w:lineRule="auto"/>
        <w:jc w:val="both"/>
        <w:rPr>
          <w:rFonts w:eastAsia="Times New Roman" w:cstheme="minorHAnsi"/>
          <w:color w:val="000000" w:themeColor="text1"/>
          <w:lang w:eastAsia="en-GB"/>
        </w:rPr>
      </w:pPr>
      <w:r>
        <w:rPr>
          <w:rFonts w:eastAsia="Times New Roman" w:cstheme="minorHAnsi"/>
          <w:color w:val="000000" w:themeColor="text1"/>
          <w:lang w:eastAsia="en-GB"/>
        </w:rPr>
        <w:t>Th</w:t>
      </w:r>
      <w:r w:rsidR="009C4F2D">
        <w:rPr>
          <w:rFonts w:eastAsia="Times New Roman" w:cstheme="minorHAnsi"/>
          <w:color w:val="000000" w:themeColor="text1"/>
          <w:lang w:eastAsia="en-GB"/>
        </w:rPr>
        <w:t>e</w:t>
      </w:r>
      <w:r>
        <w:rPr>
          <w:rFonts w:eastAsia="Times New Roman" w:cstheme="minorHAnsi"/>
          <w:color w:val="000000" w:themeColor="text1"/>
          <w:lang w:eastAsia="en-GB"/>
        </w:rPr>
        <w:t xml:space="preserve"> </w:t>
      </w:r>
      <w:r w:rsidRPr="009C4F2D">
        <w:rPr>
          <w:rFonts w:eastAsia="Times New Roman" w:cstheme="minorHAnsi"/>
          <w:b/>
          <w:bCs/>
          <w:color w:val="000000" w:themeColor="text1"/>
          <w:lang w:eastAsia="en-GB"/>
        </w:rPr>
        <w:t>National Framework</w:t>
      </w:r>
      <w:r>
        <w:rPr>
          <w:rFonts w:eastAsia="Times New Roman" w:cstheme="minorHAnsi"/>
          <w:color w:val="000000" w:themeColor="text1"/>
          <w:lang w:eastAsia="en-GB"/>
        </w:rPr>
        <w:t xml:space="preserve"> needs to </w:t>
      </w:r>
      <w:r w:rsidR="000F0EA9">
        <w:rPr>
          <w:rFonts w:eastAsia="Times New Roman" w:cstheme="minorHAnsi"/>
          <w:color w:val="000000" w:themeColor="text1"/>
          <w:lang w:eastAsia="en-GB"/>
        </w:rPr>
        <w:t>consider urgently the provisions for the coming</w:t>
      </w:r>
      <w:r w:rsidR="00C717A0" w:rsidRPr="00C717A0">
        <w:rPr>
          <w:rFonts w:eastAsia="Times New Roman" w:cstheme="minorHAnsi"/>
          <w:color w:val="000000" w:themeColor="text1"/>
          <w:lang w:eastAsia="en-GB"/>
        </w:rPr>
        <w:t xml:space="preserve"> winter season</w:t>
      </w:r>
      <w:r w:rsidR="000F0EA9">
        <w:rPr>
          <w:rFonts w:eastAsia="Times New Roman" w:cstheme="minorHAnsi"/>
          <w:color w:val="000000" w:themeColor="text1"/>
          <w:lang w:eastAsia="en-GB"/>
        </w:rPr>
        <w:t>.</w:t>
      </w:r>
      <w:r w:rsidR="00C717A0" w:rsidRPr="00C717A0">
        <w:rPr>
          <w:rFonts w:eastAsia="Times New Roman" w:cstheme="minorHAnsi"/>
          <w:color w:val="000000" w:themeColor="text1"/>
          <w:lang w:eastAsia="en-GB"/>
        </w:rPr>
        <w:t xml:space="preserve"> </w:t>
      </w:r>
      <w:r w:rsidR="000F0EA9">
        <w:rPr>
          <w:rFonts w:eastAsia="Times New Roman" w:cstheme="minorHAnsi"/>
          <w:color w:val="000000" w:themeColor="text1"/>
          <w:lang w:eastAsia="en-GB"/>
        </w:rPr>
        <w:t xml:space="preserve">This will be </w:t>
      </w:r>
      <w:r w:rsidR="00C717A0" w:rsidRPr="00C717A0">
        <w:rPr>
          <w:rFonts w:eastAsia="Times New Roman" w:cstheme="minorHAnsi"/>
          <w:color w:val="000000" w:themeColor="text1"/>
          <w:lang w:eastAsia="en-GB"/>
        </w:rPr>
        <w:t xml:space="preserve">complicated by the potential for influenza, </w:t>
      </w:r>
      <w:r w:rsidR="00B3141A" w:rsidRPr="00C717A0">
        <w:rPr>
          <w:rFonts w:eastAsia="Times New Roman" w:cstheme="minorHAnsi"/>
          <w:color w:val="000000" w:themeColor="text1"/>
          <w:lang w:eastAsia="en-GB"/>
        </w:rPr>
        <w:t>RSV,</w:t>
      </w:r>
      <w:r w:rsidR="00C717A0" w:rsidRPr="00C717A0">
        <w:rPr>
          <w:rFonts w:eastAsia="Times New Roman" w:cstheme="minorHAnsi"/>
          <w:color w:val="000000" w:themeColor="text1"/>
          <w:lang w:eastAsia="en-GB"/>
        </w:rPr>
        <w:t xml:space="preserve"> and other respiratory virus outbreaks in addition to a resurgence of SARS CoV2</w:t>
      </w:r>
      <w:r w:rsidR="00D22D16">
        <w:rPr>
          <w:rFonts w:eastAsia="Times New Roman" w:cstheme="minorHAnsi"/>
          <w:color w:val="000000" w:themeColor="text1"/>
          <w:lang w:eastAsia="en-GB"/>
        </w:rPr>
        <w:t xml:space="preserve">. </w:t>
      </w:r>
      <w:r w:rsidR="002866E6">
        <w:rPr>
          <w:rFonts w:eastAsia="Times New Roman" w:cstheme="minorHAnsi"/>
          <w:color w:val="000000" w:themeColor="text1"/>
          <w:lang w:eastAsia="en-GB"/>
        </w:rPr>
        <w:t>T</w:t>
      </w:r>
      <w:r w:rsidR="00C717A0" w:rsidRPr="00C717A0">
        <w:rPr>
          <w:rFonts w:eastAsia="Times New Roman" w:cstheme="minorHAnsi"/>
          <w:color w:val="000000" w:themeColor="text1"/>
          <w:lang w:eastAsia="en-GB"/>
        </w:rPr>
        <w:t>he testing system used in the winter must be capable of multiplex testing. Some companies can provide multiplex test kits enabling surveillance for influenza, RSV and SARS CoV2</w:t>
      </w:r>
      <w:r w:rsidR="00373141">
        <w:rPr>
          <w:rFonts w:eastAsia="Times New Roman" w:cstheme="minorHAnsi"/>
          <w:color w:val="000000" w:themeColor="text1"/>
          <w:lang w:eastAsia="en-GB"/>
        </w:rPr>
        <w:t>. T</w:t>
      </w:r>
      <w:r w:rsidR="00C717A0" w:rsidRPr="00C717A0">
        <w:rPr>
          <w:rFonts w:eastAsia="Times New Roman" w:cstheme="minorHAnsi"/>
          <w:color w:val="000000" w:themeColor="text1"/>
          <w:lang w:eastAsia="en-GB"/>
        </w:rPr>
        <w:t xml:space="preserve">he capacity for multiplex testing services needs to be urgently reviewed and potentially expanded across all facilities including hospital services, PHE laboratories and the Lighthouse laboratories in advance of the </w:t>
      </w:r>
      <w:r w:rsidR="00580335">
        <w:rPr>
          <w:rFonts w:eastAsia="Times New Roman" w:cstheme="minorHAnsi"/>
          <w:color w:val="000000" w:themeColor="text1"/>
          <w:lang w:eastAsia="en-GB"/>
        </w:rPr>
        <w:t xml:space="preserve">coming </w:t>
      </w:r>
      <w:r w:rsidR="00C717A0" w:rsidRPr="00C717A0">
        <w:rPr>
          <w:rFonts w:eastAsia="Times New Roman" w:cstheme="minorHAnsi"/>
          <w:color w:val="000000" w:themeColor="text1"/>
          <w:lang w:eastAsia="en-GB"/>
        </w:rPr>
        <w:t xml:space="preserve">winter. </w:t>
      </w:r>
    </w:p>
    <w:p w14:paraId="72D5FA43" w14:textId="15EECDB6" w:rsidR="00E17874" w:rsidRDefault="00E17874" w:rsidP="00447189">
      <w:pPr>
        <w:autoSpaceDE w:val="0"/>
        <w:autoSpaceDN w:val="0"/>
        <w:adjustRightInd w:val="0"/>
        <w:spacing w:after="0" w:line="240" w:lineRule="auto"/>
        <w:jc w:val="both"/>
        <w:rPr>
          <w:rFonts w:eastAsia="Times New Roman" w:cstheme="minorHAnsi"/>
          <w:color w:val="000000" w:themeColor="text1"/>
          <w:lang w:eastAsia="en-GB"/>
        </w:rPr>
      </w:pPr>
    </w:p>
    <w:p w14:paraId="070576FB" w14:textId="77777777" w:rsidR="00DD0020" w:rsidRDefault="00DD0020" w:rsidP="00EC2761">
      <w:pPr>
        <w:autoSpaceDE w:val="0"/>
        <w:autoSpaceDN w:val="0"/>
        <w:adjustRightInd w:val="0"/>
        <w:spacing w:after="0" w:line="240" w:lineRule="auto"/>
        <w:jc w:val="both"/>
        <w:rPr>
          <w:rFonts w:eastAsia="Times New Roman" w:cstheme="minorHAnsi"/>
          <w:b/>
          <w:bCs/>
          <w:color w:val="FF0000"/>
          <w:sz w:val="28"/>
          <w:szCs w:val="28"/>
          <w:lang w:eastAsia="en-GB"/>
        </w:rPr>
      </w:pPr>
    </w:p>
    <w:p w14:paraId="1F7AD711" w14:textId="7A28B71B" w:rsidR="0021701B" w:rsidRPr="00D85A9E" w:rsidRDefault="0001776C" w:rsidP="00EC2761">
      <w:pPr>
        <w:autoSpaceDE w:val="0"/>
        <w:autoSpaceDN w:val="0"/>
        <w:adjustRightInd w:val="0"/>
        <w:spacing w:after="0" w:line="240" w:lineRule="auto"/>
        <w:jc w:val="both"/>
        <w:rPr>
          <w:rFonts w:eastAsia="Times New Roman" w:cstheme="minorHAnsi"/>
          <w:b/>
          <w:bCs/>
          <w:color w:val="FF0000"/>
          <w:sz w:val="28"/>
          <w:szCs w:val="28"/>
          <w:lang w:eastAsia="en-GB"/>
        </w:rPr>
      </w:pPr>
      <w:r w:rsidRPr="00D85A9E">
        <w:rPr>
          <w:rFonts w:eastAsia="Times New Roman" w:cstheme="minorHAnsi"/>
          <w:b/>
          <w:bCs/>
          <w:color w:val="FF0000"/>
          <w:sz w:val="28"/>
          <w:szCs w:val="28"/>
          <w:lang w:eastAsia="en-GB"/>
        </w:rPr>
        <w:t xml:space="preserve">Gaining Regulatory and </w:t>
      </w:r>
      <w:r w:rsidR="00823734" w:rsidRPr="00D85A9E">
        <w:rPr>
          <w:rFonts w:eastAsia="Times New Roman" w:cstheme="minorHAnsi"/>
          <w:b/>
          <w:bCs/>
          <w:color w:val="FF0000"/>
          <w:sz w:val="28"/>
          <w:szCs w:val="28"/>
          <w:lang w:eastAsia="en-GB"/>
        </w:rPr>
        <w:t>Ethical Approval</w:t>
      </w:r>
    </w:p>
    <w:p w14:paraId="2D80D658" w14:textId="2D52193A" w:rsidR="006D1B67" w:rsidRDefault="00B74855" w:rsidP="004C7410">
      <w:pPr>
        <w:spacing w:before="100" w:beforeAutospacing="1" w:after="100" w:afterAutospacing="1" w:line="240" w:lineRule="auto"/>
        <w:rPr>
          <w:rFonts w:ascii="Calibri" w:eastAsia="Times New Roman" w:hAnsi="Calibri" w:cs="Calibri"/>
          <w:lang w:val="en-IN" w:eastAsia="en-GB"/>
        </w:rPr>
      </w:pPr>
      <w:r>
        <w:rPr>
          <w:rFonts w:ascii="Calibri" w:eastAsia="Times New Roman" w:hAnsi="Calibri" w:cs="Calibri"/>
          <w:lang w:val="en-IN" w:eastAsia="en-GB"/>
        </w:rPr>
        <w:t>The</w:t>
      </w:r>
      <w:r w:rsidR="007105D9" w:rsidRPr="007105D9">
        <w:rPr>
          <w:rFonts w:ascii="Calibri" w:eastAsia="Times New Roman" w:hAnsi="Calibri" w:cs="Calibri"/>
          <w:lang w:val="en-IN" w:eastAsia="en-GB"/>
        </w:rPr>
        <w:t xml:space="preserve"> MHRA </w:t>
      </w:r>
      <w:r w:rsidR="00536C47">
        <w:rPr>
          <w:rFonts w:ascii="Calibri" w:eastAsia="Times New Roman" w:hAnsi="Calibri" w:cs="Calibri"/>
          <w:lang w:val="en-IN" w:eastAsia="en-GB"/>
        </w:rPr>
        <w:t xml:space="preserve">have </w:t>
      </w:r>
      <w:r w:rsidR="00AB0120">
        <w:rPr>
          <w:rFonts w:ascii="Calibri" w:eastAsia="Times New Roman" w:hAnsi="Calibri" w:cs="Calibri"/>
          <w:lang w:val="en-IN" w:eastAsia="en-GB"/>
        </w:rPr>
        <w:t xml:space="preserve">produced a range of regulatory procedural innovations to guide applicants on management of non COVID and COVID trials, as well as to maintain </w:t>
      </w:r>
      <w:r w:rsidR="002E08DB">
        <w:rPr>
          <w:rFonts w:ascii="Calibri" w:eastAsia="Times New Roman" w:hAnsi="Calibri" w:cs="Calibri"/>
          <w:lang w:val="en-IN" w:eastAsia="en-GB"/>
        </w:rPr>
        <w:t xml:space="preserve">medicines supply throughout the epidemic. </w:t>
      </w:r>
      <w:r w:rsidR="009D42D9">
        <w:rPr>
          <w:rFonts w:ascii="Calibri" w:eastAsia="Times New Roman" w:hAnsi="Calibri" w:cs="Calibri"/>
          <w:lang w:val="en-IN" w:eastAsia="en-GB"/>
        </w:rPr>
        <w:t xml:space="preserve">In </w:t>
      </w:r>
      <w:r w:rsidR="00A1097B">
        <w:rPr>
          <w:rFonts w:ascii="Calibri" w:eastAsia="Times New Roman" w:hAnsi="Calibri" w:cs="Calibri"/>
          <w:lang w:val="en-IN" w:eastAsia="en-GB"/>
        </w:rPr>
        <w:t>addition,</w:t>
      </w:r>
      <w:r w:rsidR="009D42D9">
        <w:rPr>
          <w:rFonts w:ascii="Calibri" w:eastAsia="Times New Roman" w:hAnsi="Calibri" w:cs="Calibri"/>
          <w:lang w:val="en-IN" w:eastAsia="en-GB"/>
        </w:rPr>
        <w:t xml:space="preserve"> </w:t>
      </w:r>
      <w:r w:rsidR="00397CE7">
        <w:rPr>
          <w:rFonts w:ascii="Calibri" w:eastAsia="Times New Roman" w:hAnsi="Calibri" w:cs="Calibri"/>
          <w:lang w:val="en-IN" w:eastAsia="en-GB"/>
        </w:rPr>
        <w:t xml:space="preserve">innovations at the </w:t>
      </w:r>
      <w:r w:rsidR="009D42D9">
        <w:rPr>
          <w:rFonts w:ascii="Calibri" w:eastAsia="Times New Roman" w:hAnsi="Calibri" w:cs="Calibri"/>
          <w:lang w:val="en-IN" w:eastAsia="en-GB"/>
        </w:rPr>
        <w:t xml:space="preserve">HRA have </w:t>
      </w:r>
      <w:r w:rsidR="0083634D">
        <w:rPr>
          <w:rFonts w:ascii="Calibri" w:eastAsia="Times New Roman" w:hAnsi="Calibri" w:cs="Calibri"/>
          <w:lang w:val="en-IN" w:eastAsia="en-GB"/>
        </w:rPr>
        <w:t>resulted in rapid assessments of clinical trial protocols</w:t>
      </w:r>
      <w:r w:rsidR="005D4AAC">
        <w:rPr>
          <w:rFonts w:ascii="Calibri" w:eastAsia="Times New Roman" w:hAnsi="Calibri" w:cs="Calibri"/>
          <w:vertAlign w:val="superscript"/>
          <w:lang w:val="en-IN" w:eastAsia="en-GB"/>
        </w:rPr>
        <w:t>8</w:t>
      </w:r>
      <w:r w:rsidR="0083634D">
        <w:rPr>
          <w:rFonts w:ascii="Calibri" w:eastAsia="Times New Roman" w:hAnsi="Calibri" w:cs="Calibri"/>
          <w:lang w:val="en-IN" w:eastAsia="en-GB"/>
        </w:rPr>
        <w:t xml:space="preserve">. Taken together these activities have reduced the time to gain regulatory and ethical approval for clinical trial protocols from ~6 weeks to </w:t>
      </w:r>
      <w:r w:rsidR="009B01F1">
        <w:rPr>
          <w:rFonts w:ascii="Calibri" w:eastAsia="Times New Roman" w:hAnsi="Calibri" w:cs="Calibri"/>
          <w:lang w:val="en-IN" w:eastAsia="en-GB"/>
        </w:rPr>
        <w:t xml:space="preserve">7-14 days. </w:t>
      </w:r>
      <w:r w:rsidR="0082684C">
        <w:rPr>
          <w:rFonts w:ascii="Calibri" w:eastAsia="Times New Roman" w:hAnsi="Calibri" w:cs="Calibri"/>
          <w:lang w:val="en-IN" w:eastAsia="en-GB"/>
        </w:rPr>
        <w:t xml:space="preserve">Both organisations might consider whether these innovations </w:t>
      </w:r>
      <w:r w:rsidR="00254501">
        <w:rPr>
          <w:rFonts w:ascii="Calibri" w:eastAsia="Times New Roman" w:hAnsi="Calibri" w:cs="Calibri"/>
          <w:lang w:val="en-IN" w:eastAsia="en-GB"/>
        </w:rPr>
        <w:t xml:space="preserve">should be extended </w:t>
      </w:r>
      <w:r w:rsidR="0082684C">
        <w:rPr>
          <w:rFonts w:ascii="Calibri" w:eastAsia="Times New Roman" w:hAnsi="Calibri" w:cs="Calibri"/>
          <w:lang w:val="en-IN" w:eastAsia="en-GB"/>
        </w:rPr>
        <w:t>to future research activities for COVID and non COVID studies</w:t>
      </w:r>
      <w:r w:rsidR="004C7410">
        <w:rPr>
          <w:rFonts w:ascii="Calibri" w:eastAsia="Times New Roman" w:hAnsi="Calibri" w:cs="Calibri"/>
          <w:lang w:val="en-IN" w:eastAsia="en-GB"/>
        </w:rPr>
        <w:t xml:space="preserve">. </w:t>
      </w:r>
    </w:p>
    <w:p w14:paraId="5822A875" w14:textId="4BC30A6A" w:rsidR="00CE437E" w:rsidRDefault="004C7410" w:rsidP="004C7410">
      <w:pPr>
        <w:spacing w:before="100" w:beforeAutospacing="1" w:after="100" w:afterAutospacing="1" w:line="240" w:lineRule="auto"/>
        <w:rPr>
          <w:rFonts w:ascii="Calibri" w:eastAsia="Times New Roman" w:hAnsi="Calibri" w:cs="Calibri"/>
          <w:lang w:val="en-IN" w:eastAsia="en-GB"/>
        </w:rPr>
      </w:pPr>
      <w:r>
        <w:rPr>
          <w:rFonts w:ascii="Calibri" w:eastAsia="Times New Roman" w:hAnsi="Calibri" w:cs="Calibri"/>
          <w:lang w:val="en-IN" w:eastAsia="en-GB"/>
        </w:rPr>
        <w:t xml:space="preserve">In contrast, contracting </w:t>
      </w:r>
      <w:r w:rsidR="00BF395E">
        <w:rPr>
          <w:rFonts w:ascii="Calibri" w:eastAsia="Times New Roman" w:hAnsi="Calibri" w:cs="Calibri"/>
          <w:lang w:val="en-IN" w:eastAsia="en-GB"/>
        </w:rPr>
        <w:t xml:space="preserve">to set up a </w:t>
      </w:r>
      <w:r>
        <w:rPr>
          <w:rFonts w:ascii="Calibri" w:eastAsia="Times New Roman" w:hAnsi="Calibri" w:cs="Calibri"/>
          <w:lang w:val="en-IN" w:eastAsia="en-GB"/>
        </w:rPr>
        <w:t xml:space="preserve">clinical trial </w:t>
      </w:r>
      <w:r w:rsidR="00081D4B">
        <w:rPr>
          <w:rFonts w:ascii="Calibri" w:eastAsia="Times New Roman" w:hAnsi="Calibri" w:cs="Calibri"/>
          <w:lang w:val="en-IN" w:eastAsia="en-GB"/>
        </w:rPr>
        <w:t xml:space="preserve">in a hospital is </w:t>
      </w:r>
      <w:r>
        <w:rPr>
          <w:rFonts w:ascii="Calibri" w:eastAsia="Times New Roman" w:hAnsi="Calibri" w:cs="Calibri"/>
          <w:lang w:val="en-IN" w:eastAsia="en-GB"/>
        </w:rPr>
        <w:t xml:space="preserve">frequently protracted and slow, notwithstanding previous agreement of standardised research agreements between the ABPI and the NHS. </w:t>
      </w:r>
      <w:r w:rsidR="006F0A71">
        <w:rPr>
          <w:rFonts w:ascii="Calibri" w:eastAsia="Times New Roman" w:hAnsi="Calibri" w:cs="Calibri"/>
          <w:lang w:val="en-IN" w:eastAsia="en-GB"/>
        </w:rPr>
        <w:t>Based on the experience of our members it has commonly taken up to 12 weeks to open individual sites participating in COVID trials in the UK</w:t>
      </w:r>
      <w:r w:rsidR="00CE437E">
        <w:rPr>
          <w:rFonts w:ascii="Calibri" w:eastAsia="Times New Roman" w:hAnsi="Calibri" w:cs="Calibri"/>
          <w:lang w:val="en-IN" w:eastAsia="en-GB"/>
        </w:rPr>
        <w:t xml:space="preserve"> with the result that opportunities to recruit patients throughout the peak of the outbreak have been missed. </w:t>
      </w:r>
    </w:p>
    <w:p w14:paraId="1F6E26EA" w14:textId="14734FAA" w:rsidR="004C7410" w:rsidRDefault="004C7410" w:rsidP="004C7410">
      <w:pPr>
        <w:spacing w:before="100" w:beforeAutospacing="1" w:after="100" w:afterAutospacing="1" w:line="240" w:lineRule="auto"/>
        <w:rPr>
          <w:rFonts w:ascii="Calibri" w:eastAsia="Times New Roman" w:hAnsi="Calibri" w:cs="Calibri"/>
          <w:lang w:val="en-IN" w:eastAsia="en-GB"/>
        </w:rPr>
      </w:pPr>
      <w:r>
        <w:rPr>
          <w:rFonts w:ascii="Calibri" w:eastAsia="Times New Roman" w:hAnsi="Calibri" w:cs="Calibri"/>
          <w:lang w:val="en-IN" w:eastAsia="en-GB"/>
        </w:rPr>
        <w:t xml:space="preserve">It is recommended that </w:t>
      </w:r>
      <w:r w:rsidR="00CE437E">
        <w:rPr>
          <w:rFonts w:ascii="Calibri" w:eastAsia="Times New Roman" w:hAnsi="Calibri" w:cs="Calibri"/>
          <w:lang w:val="en-IN" w:eastAsia="en-GB"/>
        </w:rPr>
        <w:t xml:space="preserve">centrally approved </w:t>
      </w:r>
      <w:r>
        <w:rPr>
          <w:rFonts w:ascii="Calibri" w:eastAsia="Times New Roman" w:hAnsi="Calibri" w:cs="Calibri"/>
          <w:lang w:val="en-IN" w:eastAsia="en-GB"/>
        </w:rPr>
        <w:t xml:space="preserve">standardised costing and contracting agreements </w:t>
      </w:r>
      <w:r w:rsidR="00FF0E44">
        <w:rPr>
          <w:rFonts w:ascii="Calibri" w:eastAsia="Times New Roman" w:hAnsi="Calibri" w:cs="Calibri"/>
          <w:lang w:val="en-IN" w:eastAsia="en-GB"/>
        </w:rPr>
        <w:t xml:space="preserve">are established </w:t>
      </w:r>
      <w:r>
        <w:rPr>
          <w:rFonts w:ascii="Calibri" w:eastAsia="Times New Roman" w:hAnsi="Calibri" w:cs="Calibri"/>
          <w:lang w:val="en-IN" w:eastAsia="en-GB"/>
        </w:rPr>
        <w:t>to re</w:t>
      </w:r>
      <w:r w:rsidR="00FF0E44">
        <w:rPr>
          <w:rFonts w:ascii="Calibri" w:eastAsia="Times New Roman" w:hAnsi="Calibri" w:cs="Calibri"/>
          <w:lang w:val="en-IN" w:eastAsia="en-GB"/>
        </w:rPr>
        <w:t xml:space="preserve">move </w:t>
      </w:r>
      <w:r>
        <w:rPr>
          <w:rFonts w:ascii="Calibri" w:eastAsia="Times New Roman" w:hAnsi="Calibri" w:cs="Calibri"/>
          <w:lang w:val="en-IN" w:eastAsia="en-GB"/>
        </w:rPr>
        <w:t xml:space="preserve">the requirement for individual site </w:t>
      </w:r>
      <w:r w:rsidR="006D1B67">
        <w:rPr>
          <w:rFonts w:ascii="Calibri" w:eastAsia="Times New Roman" w:hAnsi="Calibri" w:cs="Calibri"/>
          <w:lang w:val="en-IN" w:eastAsia="en-GB"/>
        </w:rPr>
        <w:t xml:space="preserve">contractual arrangements </w:t>
      </w:r>
      <w:r w:rsidR="00670F95">
        <w:rPr>
          <w:rFonts w:ascii="Calibri" w:eastAsia="Times New Roman" w:hAnsi="Calibri" w:cs="Calibri"/>
          <w:lang w:val="en-IN" w:eastAsia="en-GB"/>
        </w:rPr>
        <w:t xml:space="preserve">that led </w:t>
      </w:r>
      <w:r w:rsidR="00857E5C">
        <w:rPr>
          <w:rFonts w:ascii="Calibri" w:eastAsia="Times New Roman" w:hAnsi="Calibri" w:cs="Calibri"/>
          <w:lang w:val="en-IN" w:eastAsia="en-GB"/>
        </w:rPr>
        <w:t>delay in trial start up at site level</w:t>
      </w:r>
      <w:r w:rsidR="00CE437E">
        <w:rPr>
          <w:rFonts w:ascii="Calibri" w:eastAsia="Times New Roman" w:hAnsi="Calibri" w:cs="Calibri"/>
          <w:lang w:val="en-IN" w:eastAsia="en-GB"/>
        </w:rPr>
        <w:t xml:space="preserve"> in future.</w:t>
      </w:r>
    </w:p>
    <w:p w14:paraId="2C7346DA" w14:textId="007EC27A" w:rsidR="008823FF" w:rsidRDefault="006578B7" w:rsidP="004C7410">
      <w:pPr>
        <w:spacing w:before="100" w:beforeAutospacing="1" w:after="100" w:afterAutospacing="1" w:line="240" w:lineRule="auto"/>
        <w:rPr>
          <w:rFonts w:ascii="Calibri" w:eastAsia="Times New Roman" w:hAnsi="Calibri" w:cs="Calibri"/>
          <w:b/>
          <w:bCs/>
          <w:color w:val="FF0000"/>
          <w:sz w:val="28"/>
          <w:szCs w:val="28"/>
          <w:lang w:val="en-IN" w:eastAsia="en-GB"/>
        </w:rPr>
      </w:pPr>
      <w:r w:rsidRPr="006578B7">
        <w:rPr>
          <w:rFonts w:ascii="Calibri" w:eastAsia="Times New Roman" w:hAnsi="Calibri" w:cs="Calibri"/>
          <w:b/>
          <w:bCs/>
          <w:color w:val="FF0000"/>
          <w:sz w:val="28"/>
          <w:szCs w:val="28"/>
          <w:lang w:val="en-IN" w:eastAsia="en-GB"/>
        </w:rPr>
        <w:t xml:space="preserve">Epidemiological </w:t>
      </w:r>
      <w:r>
        <w:rPr>
          <w:rFonts w:ascii="Calibri" w:eastAsia="Times New Roman" w:hAnsi="Calibri" w:cs="Calibri"/>
          <w:b/>
          <w:bCs/>
          <w:color w:val="FF0000"/>
          <w:sz w:val="28"/>
          <w:szCs w:val="28"/>
          <w:lang w:val="en-IN" w:eastAsia="en-GB"/>
        </w:rPr>
        <w:t>Studies in Digitised Records</w:t>
      </w:r>
    </w:p>
    <w:p w14:paraId="58BDC404" w14:textId="201F8FAA" w:rsidR="0027331A" w:rsidRDefault="007514B1" w:rsidP="007514B1">
      <w:pPr>
        <w:spacing w:before="100" w:beforeAutospacing="1" w:after="100" w:afterAutospacing="1" w:line="240" w:lineRule="auto"/>
        <w:rPr>
          <w:rFonts w:ascii="Calibri" w:eastAsia="Times New Roman" w:hAnsi="Calibri" w:cs="Calibri"/>
          <w:color w:val="000000" w:themeColor="text1"/>
          <w:lang w:val="en-IN" w:eastAsia="en-GB"/>
        </w:rPr>
      </w:pPr>
      <w:r>
        <w:rPr>
          <w:rFonts w:ascii="Calibri" w:eastAsia="Times New Roman" w:hAnsi="Calibri" w:cs="Calibri"/>
          <w:color w:val="000000" w:themeColor="text1"/>
          <w:lang w:val="en-IN" w:eastAsia="en-GB"/>
        </w:rPr>
        <w:t xml:space="preserve">The </w:t>
      </w:r>
      <w:r w:rsidRPr="007514B1">
        <w:rPr>
          <w:rFonts w:ascii="Calibri" w:eastAsia="Times New Roman" w:hAnsi="Calibri" w:cs="Calibri"/>
          <w:color w:val="000000" w:themeColor="text1"/>
          <w:lang w:val="en-IN" w:eastAsia="en-GB"/>
        </w:rPr>
        <w:t>Clinical Practice Research Datalink (CPRD) is a real-world research service supporting retrospective and prospective public health and clinical studies. CPRD collects de-identified patient data from a network of GP practices across the UK</w:t>
      </w:r>
      <w:r>
        <w:rPr>
          <w:rFonts w:ascii="Calibri" w:eastAsia="Times New Roman" w:hAnsi="Calibri" w:cs="Calibri"/>
          <w:color w:val="000000" w:themeColor="text1"/>
          <w:lang w:val="en-IN" w:eastAsia="en-GB"/>
        </w:rPr>
        <w:t xml:space="preserve"> and links these </w:t>
      </w:r>
      <w:r w:rsidRPr="007514B1">
        <w:rPr>
          <w:rFonts w:ascii="Calibri" w:eastAsia="Times New Roman" w:hAnsi="Calibri" w:cs="Calibri"/>
          <w:color w:val="000000" w:themeColor="text1"/>
          <w:lang w:val="en-IN" w:eastAsia="en-GB"/>
        </w:rPr>
        <w:t>to a range of other health related data to provide a longitudinal, representative UK population health dataset</w:t>
      </w:r>
      <w:r w:rsidR="005D4AAC">
        <w:rPr>
          <w:rFonts w:ascii="Calibri" w:eastAsia="Times New Roman" w:hAnsi="Calibri" w:cs="Calibri"/>
          <w:color w:val="000000" w:themeColor="text1"/>
          <w:vertAlign w:val="superscript"/>
          <w:lang w:val="en-IN" w:eastAsia="en-GB"/>
        </w:rPr>
        <w:t>9</w:t>
      </w:r>
      <w:r w:rsidRPr="007514B1">
        <w:rPr>
          <w:rFonts w:ascii="Calibri" w:eastAsia="Times New Roman" w:hAnsi="Calibri" w:cs="Calibri"/>
          <w:color w:val="000000" w:themeColor="text1"/>
          <w:lang w:val="en-IN" w:eastAsia="en-GB"/>
        </w:rPr>
        <w:t xml:space="preserve">. </w:t>
      </w:r>
      <w:r>
        <w:rPr>
          <w:rFonts w:ascii="Calibri" w:eastAsia="Times New Roman" w:hAnsi="Calibri" w:cs="Calibri"/>
          <w:color w:val="000000" w:themeColor="text1"/>
          <w:lang w:val="en-IN" w:eastAsia="en-GB"/>
        </w:rPr>
        <w:t xml:space="preserve"> R</w:t>
      </w:r>
      <w:r w:rsidRPr="007514B1">
        <w:rPr>
          <w:rFonts w:ascii="Calibri" w:eastAsia="Times New Roman" w:hAnsi="Calibri" w:cs="Calibri"/>
          <w:color w:val="000000" w:themeColor="text1"/>
          <w:lang w:val="en-IN" w:eastAsia="en-GB"/>
        </w:rPr>
        <w:t>esearch using CPRD data and services has informed clinical guidance and best practice, resulting in over 2,500 peer-reviewed publications investigating drug safety, use of medicines, effectiveness of health policy, health care delivery and disease risk factors</w:t>
      </w:r>
      <w:r>
        <w:rPr>
          <w:rFonts w:ascii="Calibri" w:eastAsia="Times New Roman" w:hAnsi="Calibri" w:cs="Calibri"/>
          <w:color w:val="000000" w:themeColor="text1"/>
          <w:lang w:val="en-IN" w:eastAsia="en-GB"/>
        </w:rPr>
        <w:t xml:space="preserve"> for over 30 years</w:t>
      </w:r>
      <w:r w:rsidRPr="007514B1">
        <w:rPr>
          <w:rFonts w:ascii="Calibri" w:eastAsia="Times New Roman" w:hAnsi="Calibri" w:cs="Calibri"/>
          <w:color w:val="000000" w:themeColor="text1"/>
          <w:lang w:val="en-IN" w:eastAsia="en-GB"/>
        </w:rPr>
        <w:t>.</w:t>
      </w:r>
      <w:r>
        <w:rPr>
          <w:rFonts w:ascii="Calibri" w:eastAsia="Times New Roman" w:hAnsi="Calibri" w:cs="Calibri"/>
          <w:color w:val="000000" w:themeColor="text1"/>
          <w:lang w:val="en-IN" w:eastAsia="en-GB"/>
        </w:rPr>
        <w:t xml:space="preserve"> </w:t>
      </w:r>
    </w:p>
    <w:p w14:paraId="52D19B9D" w14:textId="17E2D4EA" w:rsidR="00345BB4" w:rsidRDefault="00630B89" w:rsidP="007514B1">
      <w:pPr>
        <w:spacing w:before="100" w:beforeAutospacing="1" w:after="100" w:afterAutospacing="1" w:line="240" w:lineRule="auto"/>
        <w:rPr>
          <w:rFonts w:ascii="Calibri" w:eastAsia="Times New Roman" w:hAnsi="Calibri" w:cs="Calibri"/>
          <w:color w:val="000000" w:themeColor="text1"/>
          <w:lang w:val="en-IN" w:eastAsia="en-GB"/>
        </w:rPr>
      </w:pPr>
      <w:r>
        <w:rPr>
          <w:rFonts w:ascii="Calibri" w:eastAsia="Times New Roman" w:hAnsi="Calibri" w:cs="Calibri"/>
          <w:color w:val="000000" w:themeColor="text1"/>
          <w:lang w:val="en-IN" w:eastAsia="en-GB"/>
        </w:rPr>
        <w:t xml:space="preserve">Databases are updated monthly, which precludes </w:t>
      </w:r>
      <w:r w:rsidR="007F0D1A">
        <w:rPr>
          <w:rFonts w:ascii="Calibri" w:eastAsia="Times New Roman" w:hAnsi="Calibri" w:cs="Calibri"/>
          <w:color w:val="000000" w:themeColor="text1"/>
          <w:lang w:val="en-IN" w:eastAsia="en-GB"/>
        </w:rPr>
        <w:t xml:space="preserve">‘real time’ assessment of disease activity and contribution of patient factors to outcomes. </w:t>
      </w:r>
      <w:r w:rsidR="0027331A">
        <w:rPr>
          <w:rFonts w:ascii="Calibri" w:eastAsia="Times New Roman" w:hAnsi="Calibri" w:cs="Calibri"/>
          <w:color w:val="000000" w:themeColor="text1"/>
          <w:lang w:val="en-IN" w:eastAsia="en-GB"/>
        </w:rPr>
        <w:t>T</w:t>
      </w:r>
      <w:r w:rsidR="001C6964">
        <w:rPr>
          <w:rFonts w:ascii="Calibri" w:eastAsia="Times New Roman" w:hAnsi="Calibri" w:cs="Calibri"/>
          <w:color w:val="000000" w:themeColor="text1"/>
          <w:lang w:val="en-IN" w:eastAsia="en-GB"/>
        </w:rPr>
        <w:t xml:space="preserve">he time taken to upload data </w:t>
      </w:r>
      <w:r w:rsidR="00A55308">
        <w:rPr>
          <w:rFonts w:ascii="Calibri" w:eastAsia="Times New Roman" w:hAnsi="Calibri" w:cs="Calibri"/>
          <w:color w:val="000000" w:themeColor="text1"/>
          <w:lang w:val="en-IN" w:eastAsia="en-GB"/>
        </w:rPr>
        <w:t>s</w:t>
      </w:r>
      <w:r w:rsidR="0027331A">
        <w:rPr>
          <w:rFonts w:ascii="Calibri" w:eastAsia="Times New Roman" w:hAnsi="Calibri" w:cs="Calibri"/>
          <w:color w:val="000000" w:themeColor="text1"/>
          <w:lang w:val="en-IN" w:eastAsia="en-GB"/>
        </w:rPr>
        <w:t>h</w:t>
      </w:r>
      <w:r w:rsidR="001C6964">
        <w:rPr>
          <w:rFonts w:ascii="Calibri" w:eastAsia="Times New Roman" w:hAnsi="Calibri" w:cs="Calibri"/>
          <w:color w:val="000000" w:themeColor="text1"/>
          <w:lang w:val="en-IN" w:eastAsia="en-GB"/>
        </w:rPr>
        <w:t>ould be reduced to a regular overnight activity</w:t>
      </w:r>
      <w:r w:rsidR="00A55308">
        <w:rPr>
          <w:rFonts w:ascii="Calibri" w:eastAsia="Times New Roman" w:hAnsi="Calibri" w:cs="Calibri"/>
          <w:color w:val="000000" w:themeColor="text1"/>
          <w:lang w:val="en-IN" w:eastAsia="en-GB"/>
        </w:rPr>
        <w:t>.</w:t>
      </w:r>
      <w:r w:rsidR="00345BB4">
        <w:rPr>
          <w:rFonts w:ascii="Calibri" w:eastAsia="Times New Roman" w:hAnsi="Calibri" w:cs="Calibri"/>
          <w:color w:val="000000" w:themeColor="text1"/>
          <w:lang w:val="en-IN" w:eastAsia="en-GB"/>
        </w:rPr>
        <w:t xml:space="preserve"> This </w:t>
      </w:r>
      <w:r w:rsidR="001C6964">
        <w:rPr>
          <w:rFonts w:ascii="Calibri" w:eastAsia="Times New Roman" w:hAnsi="Calibri" w:cs="Calibri"/>
          <w:color w:val="000000" w:themeColor="text1"/>
          <w:lang w:val="en-IN" w:eastAsia="en-GB"/>
        </w:rPr>
        <w:t xml:space="preserve">would greatly facilitate </w:t>
      </w:r>
      <w:r w:rsidR="005A40EE">
        <w:rPr>
          <w:rFonts w:ascii="Calibri" w:eastAsia="Times New Roman" w:hAnsi="Calibri" w:cs="Calibri"/>
          <w:color w:val="000000" w:themeColor="text1"/>
          <w:lang w:val="en-IN" w:eastAsia="en-GB"/>
        </w:rPr>
        <w:t xml:space="preserve">timely </w:t>
      </w:r>
      <w:r w:rsidR="001C6964">
        <w:rPr>
          <w:rFonts w:ascii="Calibri" w:eastAsia="Times New Roman" w:hAnsi="Calibri" w:cs="Calibri"/>
          <w:color w:val="000000" w:themeColor="text1"/>
          <w:lang w:val="en-IN" w:eastAsia="en-GB"/>
        </w:rPr>
        <w:t>research</w:t>
      </w:r>
      <w:r w:rsidR="005A40EE">
        <w:rPr>
          <w:rFonts w:ascii="Calibri" w:eastAsia="Times New Roman" w:hAnsi="Calibri" w:cs="Calibri"/>
          <w:color w:val="000000" w:themeColor="text1"/>
          <w:lang w:val="en-IN" w:eastAsia="en-GB"/>
        </w:rPr>
        <w:t xml:space="preserve">. </w:t>
      </w:r>
      <w:r w:rsidR="00C51E55">
        <w:rPr>
          <w:rFonts w:ascii="Calibri" w:eastAsia="Times New Roman" w:hAnsi="Calibri" w:cs="Calibri"/>
          <w:color w:val="000000" w:themeColor="text1"/>
          <w:lang w:val="en-IN" w:eastAsia="en-GB"/>
        </w:rPr>
        <w:t>Notwithstanding</w:t>
      </w:r>
      <w:r w:rsidR="00A1097B">
        <w:rPr>
          <w:rFonts w:ascii="Calibri" w:eastAsia="Times New Roman" w:hAnsi="Calibri" w:cs="Calibri"/>
          <w:color w:val="000000" w:themeColor="text1"/>
          <w:lang w:val="en-IN" w:eastAsia="en-GB"/>
        </w:rPr>
        <w:t xml:space="preserve"> </w:t>
      </w:r>
      <w:r w:rsidR="00C51E55">
        <w:rPr>
          <w:rFonts w:ascii="Calibri" w:eastAsia="Times New Roman" w:hAnsi="Calibri" w:cs="Calibri"/>
          <w:color w:val="000000" w:themeColor="text1"/>
          <w:lang w:val="en-IN" w:eastAsia="en-GB"/>
        </w:rPr>
        <w:t>these delays t</w:t>
      </w:r>
      <w:r w:rsidR="003F15AB">
        <w:rPr>
          <w:rFonts w:ascii="Calibri" w:eastAsia="Times New Roman" w:hAnsi="Calibri" w:cs="Calibri"/>
          <w:color w:val="000000" w:themeColor="text1"/>
          <w:lang w:val="en-IN" w:eastAsia="en-GB"/>
        </w:rPr>
        <w:t xml:space="preserve">he recent reported risks of dying from COVID-19 </w:t>
      </w:r>
      <w:r w:rsidR="00C51E55">
        <w:rPr>
          <w:rFonts w:ascii="Calibri" w:eastAsia="Times New Roman" w:hAnsi="Calibri" w:cs="Calibri"/>
          <w:color w:val="000000" w:themeColor="text1"/>
          <w:lang w:val="en-IN" w:eastAsia="en-GB"/>
        </w:rPr>
        <w:t xml:space="preserve">using a population base of 17 million patients </w:t>
      </w:r>
      <w:r w:rsidR="00AD3D4A">
        <w:rPr>
          <w:rFonts w:ascii="Calibri" w:eastAsia="Times New Roman" w:hAnsi="Calibri" w:cs="Calibri"/>
          <w:color w:val="000000" w:themeColor="text1"/>
          <w:lang w:val="en-IN" w:eastAsia="en-GB"/>
        </w:rPr>
        <w:t xml:space="preserve">greatly aid understanding and </w:t>
      </w:r>
      <w:r w:rsidR="00D2343A">
        <w:rPr>
          <w:rFonts w:ascii="Calibri" w:eastAsia="Times New Roman" w:hAnsi="Calibri" w:cs="Calibri"/>
          <w:color w:val="000000" w:themeColor="text1"/>
          <w:lang w:val="en-IN" w:eastAsia="en-GB"/>
        </w:rPr>
        <w:t xml:space="preserve">has led to a GP diagnostic tool to aid clinical </w:t>
      </w:r>
      <w:r w:rsidR="00531A58">
        <w:rPr>
          <w:rFonts w:ascii="Calibri" w:eastAsia="Times New Roman" w:hAnsi="Calibri" w:cs="Calibri"/>
          <w:color w:val="000000" w:themeColor="text1"/>
          <w:lang w:val="en-IN" w:eastAsia="en-GB"/>
        </w:rPr>
        <w:t>management</w:t>
      </w:r>
      <w:r w:rsidR="00A55308">
        <w:rPr>
          <w:rFonts w:ascii="Calibri" w:eastAsia="Times New Roman" w:hAnsi="Calibri" w:cs="Calibri"/>
          <w:color w:val="000000" w:themeColor="text1"/>
          <w:vertAlign w:val="superscript"/>
          <w:lang w:val="en-IN" w:eastAsia="en-GB"/>
        </w:rPr>
        <w:t>1</w:t>
      </w:r>
      <w:r w:rsidR="005D4AAC">
        <w:rPr>
          <w:rFonts w:ascii="Calibri" w:eastAsia="Times New Roman" w:hAnsi="Calibri" w:cs="Calibri"/>
          <w:color w:val="000000" w:themeColor="text1"/>
          <w:vertAlign w:val="superscript"/>
          <w:lang w:val="en-IN" w:eastAsia="en-GB"/>
        </w:rPr>
        <w:t>0</w:t>
      </w:r>
      <w:r w:rsidR="001C7E66">
        <w:rPr>
          <w:rFonts w:ascii="Calibri" w:eastAsia="Times New Roman" w:hAnsi="Calibri" w:cs="Calibri"/>
          <w:color w:val="000000" w:themeColor="text1"/>
          <w:lang w:val="en-IN" w:eastAsia="en-GB"/>
        </w:rPr>
        <w:t>.</w:t>
      </w:r>
    </w:p>
    <w:p w14:paraId="2425C7B7" w14:textId="5273244D" w:rsidR="00355626" w:rsidRDefault="005A40EE" w:rsidP="007514B1">
      <w:pPr>
        <w:spacing w:before="100" w:beforeAutospacing="1" w:after="100" w:afterAutospacing="1" w:line="240" w:lineRule="auto"/>
        <w:rPr>
          <w:rFonts w:ascii="Calibri" w:eastAsia="Times New Roman" w:hAnsi="Calibri" w:cs="Calibri"/>
          <w:color w:val="000000" w:themeColor="text1"/>
          <w:lang w:val="en-IN" w:eastAsia="en-GB"/>
        </w:rPr>
      </w:pPr>
      <w:r>
        <w:rPr>
          <w:rFonts w:ascii="Calibri" w:eastAsia="Times New Roman" w:hAnsi="Calibri" w:cs="Calibri"/>
          <w:color w:val="000000" w:themeColor="text1"/>
          <w:lang w:val="en-IN" w:eastAsia="en-GB"/>
        </w:rPr>
        <w:t xml:space="preserve">Currently </w:t>
      </w:r>
      <w:r w:rsidR="00AC17C6">
        <w:rPr>
          <w:rFonts w:ascii="Calibri" w:eastAsia="Times New Roman" w:hAnsi="Calibri" w:cs="Calibri"/>
          <w:color w:val="000000" w:themeColor="text1"/>
          <w:lang w:val="en-IN" w:eastAsia="en-GB"/>
        </w:rPr>
        <w:t>the</w:t>
      </w:r>
      <w:r w:rsidR="005A4C28">
        <w:rPr>
          <w:rFonts w:ascii="Calibri" w:eastAsia="Times New Roman" w:hAnsi="Calibri" w:cs="Calibri"/>
          <w:color w:val="000000" w:themeColor="text1"/>
          <w:lang w:val="en-IN" w:eastAsia="en-GB"/>
        </w:rPr>
        <w:t>r</w:t>
      </w:r>
      <w:r w:rsidR="00AC17C6">
        <w:rPr>
          <w:rFonts w:ascii="Calibri" w:eastAsia="Times New Roman" w:hAnsi="Calibri" w:cs="Calibri"/>
          <w:color w:val="000000" w:themeColor="text1"/>
          <w:lang w:val="en-IN" w:eastAsia="en-GB"/>
        </w:rPr>
        <w:t xml:space="preserve">e </w:t>
      </w:r>
      <w:r w:rsidR="00E85215">
        <w:rPr>
          <w:rFonts w:ascii="Calibri" w:eastAsia="Times New Roman" w:hAnsi="Calibri" w:cs="Calibri"/>
          <w:color w:val="000000" w:themeColor="text1"/>
          <w:lang w:val="en-IN" w:eastAsia="en-GB"/>
        </w:rPr>
        <w:t xml:space="preserve">is no seamless link between </w:t>
      </w:r>
      <w:r w:rsidR="007F0D1A">
        <w:rPr>
          <w:rFonts w:ascii="Calibri" w:eastAsia="Times New Roman" w:hAnsi="Calibri" w:cs="Calibri"/>
          <w:color w:val="000000" w:themeColor="text1"/>
          <w:lang w:val="en-IN" w:eastAsia="en-GB"/>
        </w:rPr>
        <w:t xml:space="preserve">the </w:t>
      </w:r>
      <w:r>
        <w:rPr>
          <w:rFonts w:ascii="Calibri" w:eastAsia="Times New Roman" w:hAnsi="Calibri" w:cs="Calibri"/>
          <w:color w:val="000000" w:themeColor="text1"/>
          <w:lang w:val="en-IN" w:eastAsia="en-GB"/>
        </w:rPr>
        <w:t xml:space="preserve">CPRD </w:t>
      </w:r>
      <w:r w:rsidR="007F0D1A">
        <w:rPr>
          <w:rFonts w:ascii="Calibri" w:eastAsia="Times New Roman" w:hAnsi="Calibri" w:cs="Calibri"/>
          <w:color w:val="000000" w:themeColor="text1"/>
          <w:lang w:val="en-IN" w:eastAsia="en-GB"/>
        </w:rPr>
        <w:t xml:space="preserve">database </w:t>
      </w:r>
      <w:r w:rsidR="00E85215">
        <w:rPr>
          <w:rFonts w:ascii="Calibri" w:eastAsia="Times New Roman" w:hAnsi="Calibri" w:cs="Calibri"/>
          <w:color w:val="000000" w:themeColor="text1"/>
          <w:lang w:val="en-IN" w:eastAsia="en-GB"/>
        </w:rPr>
        <w:t>and to the patien</w:t>
      </w:r>
      <w:r w:rsidR="004B5E32">
        <w:rPr>
          <w:rFonts w:ascii="Calibri" w:eastAsia="Times New Roman" w:hAnsi="Calibri" w:cs="Calibri"/>
          <w:color w:val="000000" w:themeColor="text1"/>
          <w:lang w:val="en-IN" w:eastAsia="en-GB"/>
        </w:rPr>
        <w:t>ts</w:t>
      </w:r>
      <w:r w:rsidR="001C7E66">
        <w:rPr>
          <w:rFonts w:ascii="Calibri" w:eastAsia="Times New Roman" w:hAnsi="Calibri" w:cs="Calibri"/>
          <w:color w:val="000000" w:themeColor="text1"/>
          <w:lang w:val="en-IN" w:eastAsia="en-GB"/>
        </w:rPr>
        <w:t>’ hospital</w:t>
      </w:r>
      <w:r w:rsidR="007F0D1A">
        <w:rPr>
          <w:rFonts w:ascii="Calibri" w:eastAsia="Times New Roman" w:hAnsi="Calibri" w:cs="Calibri"/>
          <w:color w:val="000000" w:themeColor="text1"/>
          <w:lang w:val="en-IN" w:eastAsia="en-GB"/>
        </w:rPr>
        <w:t xml:space="preserve"> episode data</w:t>
      </w:r>
      <w:r w:rsidR="004B5E32">
        <w:rPr>
          <w:rFonts w:ascii="Calibri" w:eastAsia="Times New Roman" w:hAnsi="Calibri" w:cs="Calibri"/>
          <w:color w:val="000000" w:themeColor="text1"/>
          <w:lang w:val="en-IN" w:eastAsia="en-GB"/>
        </w:rPr>
        <w:t xml:space="preserve">. This further </w:t>
      </w:r>
      <w:r w:rsidR="00583AEC">
        <w:rPr>
          <w:rFonts w:ascii="Calibri" w:eastAsia="Times New Roman" w:hAnsi="Calibri" w:cs="Calibri"/>
          <w:color w:val="000000" w:themeColor="text1"/>
          <w:lang w:val="en-IN" w:eastAsia="en-GB"/>
        </w:rPr>
        <w:t>complicates the conduct of studies following patients from the community into hospital and back to the community</w:t>
      </w:r>
      <w:r w:rsidR="005E6D7D">
        <w:rPr>
          <w:rFonts w:ascii="Calibri" w:eastAsia="Times New Roman" w:hAnsi="Calibri" w:cs="Calibri"/>
          <w:color w:val="000000" w:themeColor="text1"/>
          <w:lang w:val="en-IN" w:eastAsia="en-GB"/>
        </w:rPr>
        <w:t xml:space="preserve">. Improved linkage </w:t>
      </w:r>
      <w:r w:rsidR="00B43878">
        <w:rPr>
          <w:rFonts w:ascii="Calibri" w:eastAsia="Times New Roman" w:hAnsi="Calibri" w:cs="Calibri"/>
          <w:color w:val="000000" w:themeColor="text1"/>
          <w:lang w:val="en-IN" w:eastAsia="en-GB"/>
        </w:rPr>
        <w:t xml:space="preserve">to and </w:t>
      </w:r>
      <w:r w:rsidR="004B5E32">
        <w:rPr>
          <w:rFonts w:ascii="Calibri" w:eastAsia="Times New Roman" w:hAnsi="Calibri" w:cs="Calibri"/>
          <w:color w:val="000000" w:themeColor="text1"/>
          <w:lang w:val="en-IN" w:eastAsia="en-GB"/>
        </w:rPr>
        <w:t xml:space="preserve">ideally </w:t>
      </w:r>
      <w:r w:rsidR="00AA05D2">
        <w:rPr>
          <w:rFonts w:ascii="Calibri" w:eastAsia="Times New Roman" w:hAnsi="Calibri" w:cs="Calibri"/>
          <w:color w:val="000000" w:themeColor="text1"/>
          <w:lang w:val="en-IN" w:eastAsia="en-GB"/>
        </w:rPr>
        <w:t xml:space="preserve">standardising the </w:t>
      </w:r>
      <w:r w:rsidR="005E6D7D">
        <w:rPr>
          <w:rFonts w:ascii="Calibri" w:eastAsia="Times New Roman" w:hAnsi="Calibri" w:cs="Calibri"/>
          <w:color w:val="000000" w:themeColor="text1"/>
          <w:lang w:val="en-IN" w:eastAsia="en-GB"/>
        </w:rPr>
        <w:t>structur</w:t>
      </w:r>
      <w:r w:rsidR="00AA05D2">
        <w:rPr>
          <w:rFonts w:ascii="Calibri" w:eastAsia="Times New Roman" w:hAnsi="Calibri" w:cs="Calibri"/>
          <w:color w:val="000000" w:themeColor="text1"/>
          <w:lang w:val="en-IN" w:eastAsia="en-GB"/>
        </w:rPr>
        <w:t xml:space="preserve">e </w:t>
      </w:r>
      <w:r w:rsidR="005E6D7D">
        <w:rPr>
          <w:rFonts w:ascii="Calibri" w:eastAsia="Times New Roman" w:hAnsi="Calibri" w:cs="Calibri"/>
          <w:color w:val="000000" w:themeColor="text1"/>
          <w:lang w:val="en-IN" w:eastAsia="en-GB"/>
        </w:rPr>
        <w:t xml:space="preserve">of hospital </w:t>
      </w:r>
      <w:r w:rsidR="00AA05D2">
        <w:rPr>
          <w:rFonts w:ascii="Calibri" w:eastAsia="Times New Roman" w:hAnsi="Calibri" w:cs="Calibri"/>
          <w:color w:val="000000" w:themeColor="text1"/>
          <w:lang w:val="en-IN" w:eastAsia="en-GB"/>
        </w:rPr>
        <w:t xml:space="preserve">clinical </w:t>
      </w:r>
      <w:r w:rsidR="005E6D7D">
        <w:rPr>
          <w:rFonts w:ascii="Calibri" w:eastAsia="Times New Roman" w:hAnsi="Calibri" w:cs="Calibri"/>
          <w:color w:val="000000" w:themeColor="text1"/>
          <w:lang w:val="en-IN" w:eastAsia="en-GB"/>
        </w:rPr>
        <w:t>record</w:t>
      </w:r>
      <w:r w:rsidR="00AA05D2">
        <w:rPr>
          <w:rFonts w:ascii="Calibri" w:eastAsia="Times New Roman" w:hAnsi="Calibri" w:cs="Calibri"/>
          <w:color w:val="000000" w:themeColor="text1"/>
          <w:lang w:val="en-IN" w:eastAsia="en-GB"/>
        </w:rPr>
        <w:t>s</w:t>
      </w:r>
      <w:r w:rsidR="00854350">
        <w:rPr>
          <w:rFonts w:ascii="Calibri" w:eastAsia="Times New Roman" w:hAnsi="Calibri" w:cs="Calibri"/>
          <w:color w:val="000000" w:themeColor="text1"/>
          <w:lang w:val="en-IN" w:eastAsia="en-GB"/>
        </w:rPr>
        <w:t xml:space="preserve"> </w:t>
      </w:r>
      <w:r w:rsidR="00ED6A6F">
        <w:rPr>
          <w:rFonts w:ascii="Calibri" w:eastAsia="Times New Roman" w:hAnsi="Calibri" w:cs="Calibri"/>
          <w:color w:val="000000" w:themeColor="text1"/>
          <w:lang w:val="en-IN" w:eastAsia="en-GB"/>
        </w:rPr>
        <w:t xml:space="preserve">would significantly enhance the quality of data </w:t>
      </w:r>
      <w:r w:rsidR="00355626">
        <w:rPr>
          <w:rFonts w:ascii="Calibri" w:eastAsia="Times New Roman" w:hAnsi="Calibri" w:cs="Calibri"/>
          <w:color w:val="000000" w:themeColor="text1"/>
          <w:lang w:val="en-IN" w:eastAsia="en-GB"/>
        </w:rPr>
        <w:t>available and</w:t>
      </w:r>
      <w:r w:rsidR="00ED6A6F">
        <w:rPr>
          <w:rFonts w:ascii="Calibri" w:eastAsia="Times New Roman" w:hAnsi="Calibri" w:cs="Calibri"/>
          <w:color w:val="000000" w:themeColor="text1"/>
          <w:lang w:val="en-IN" w:eastAsia="en-GB"/>
        </w:rPr>
        <w:t xml:space="preserve"> improve the potential for conduct of ‘virtual’ clinical trials</w:t>
      </w:r>
      <w:r w:rsidR="00812560">
        <w:rPr>
          <w:rFonts w:ascii="Calibri" w:eastAsia="Times New Roman" w:hAnsi="Calibri" w:cs="Calibri"/>
          <w:color w:val="000000" w:themeColor="text1"/>
          <w:lang w:val="en-IN" w:eastAsia="en-GB"/>
        </w:rPr>
        <w:t xml:space="preserve">. </w:t>
      </w:r>
    </w:p>
    <w:p w14:paraId="19F76337" w14:textId="2A182549" w:rsidR="006578B7" w:rsidRPr="00C1542D" w:rsidRDefault="00F6464B" w:rsidP="007514B1">
      <w:pPr>
        <w:spacing w:before="100" w:beforeAutospacing="1" w:after="100" w:afterAutospacing="1" w:line="240" w:lineRule="auto"/>
        <w:rPr>
          <w:rFonts w:ascii="Calibri" w:eastAsia="Times New Roman" w:hAnsi="Calibri" w:cs="Calibri"/>
          <w:b/>
          <w:bCs/>
          <w:color w:val="FF0000"/>
          <w:sz w:val="28"/>
          <w:szCs w:val="28"/>
          <w:lang w:val="en-IN" w:eastAsia="en-GB"/>
        </w:rPr>
      </w:pPr>
      <w:r>
        <w:rPr>
          <w:rFonts w:ascii="Calibri" w:eastAsia="Times New Roman" w:hAnsi="Calibri" w:cs="Calibri"/>
          <w:color w:val="000000" w:themeColor="text1"/>
          <w:lang w:val="en-IN" w:eastAsia="en-GB"/>
        </w:rPr>
        <w:t xml:space="preserve">One immediate gain </w:t>
      </w:r>
      <w:r w:rsidR="00F3183A">
        <w:rPr>
          <w:rFonts w:ascii="Calibri" w:eastAsia="Times New Roman" w:hAnsi="Calibri" w:cs="Calibri"/>
          <w:color w:val="000000" w:themeColor="text1"/>
          <w:lang w:val="en-IN" w:eastAsia="en-GB"/>
        </w:rPr>
        <w:t xml:space="preserve">of such a development </w:t>
      </w:r>
      <w:r>
        <w:rPr>
          <w:rFonts w:ascii="Calibri" w:eastAsia="Times New Roman" w:hAnsi="Calibri" w:cs="Calibri"/>
          <w:color w:val="000000" w:themeColor="text1"/>
          <w:lang w:val="en-IN" w:eastAsia="en-GB"/>
        </w:rPr>
        <w:t xml:space="preserve">would be an ability </w:t>
      </w:r>
      <w:r w:rsidR="00812560">
        <w:rPr>
          <w:rFonts w:ascii="Calibri" w:eastAsia="Times New Roman" w:hAnsi="Calibri" w:cs="Calibri"/>
          <w:color w:val="000000" w:themeColor="text1"/>
          <w:lang w:val="en-IN" w:eastAsia="en-GB"/>
        </w:rPr>
        <w:t xml:space="preserve">for early detection of antibody enhanced disease or other complications of </w:t>
      </w:r>
      <w:r w:rsidR="00B45F48">
        <w:rPr>
          <w:rFonts w:ascii="Calibri" w:eastAsia="Times New Roman" w:hAnsi="Calibri" w:cs="Calibri"/>
          <w:color w:val="000000" w:themeColor="text1"/>
          <w:lang w:val="en-IN" w:eastAsia="en-GB"/>
        </w:rPr>
        <w:t xml:space="preserve">vaccines </w:t>
      </w:r>
      <w:r w:rsidR="00812560">
        <w:rPr>
          <w:rFonts w:ascii="Calibri" w:eastAsia="Times New Roman" w:hAnsi="Calibri" w:cs="Calibri"/>
          <w:color w:val="000000" w:themeColor="text1"/>
          <w:lang w:val="en-IN" w:eastAsia="en-GB"/>
        </w:rPr>
        <w:t xml:space="preserve">among vaccine recipients </w:t>
      </w:r>
      <w:r w:rsidR="00127583">
        <w:rPr>
          <w:rFonts w:ascii="Calibri" w:eastAsia="Times New Roman" w:hAnsi="Calibri" w:cs="Calibri"/>
          <w:color w:val="000000" w:themeColor="text1"/>
          <w:lang w:val="en-IN" w:eastAsia="en-GB"/>
        </w:rPr>
        <w:t>in future</w:t>
      </w:r>
      <w:r>
        <w:rPr>
          <w:rFonts w:ascii="Calibri" w:eastAsia="Times New Roman" w:hAnsi="Calibri" w:cs="Calibri"/>
          <w:color w:val="000000" w:themeColor="text1"/>
          <w:lang w:val="en-IN" w:eastAsia="en-GB"/>
        </w:rPr>
        <w:t>. A safety concern of future vaccines</w:t>
      </w:r>
      <w:r w:rsidR="00127583">
        <w:rPr>
          <w:rFonts w:ascii="Calibri" w:eastAsia="Times New Roman" w:hAnsi="Calibri" w:cs="Calibri"/>
          <w:color w:val="000000" w:themeColor="text1"/>
          <w:lang w:val="en-IN" w:eastAsia="en-GB"/>
        </w:rPr>
        <w:t xml:space="preserve">. </w:t>
      </w:r>
    </w:p>
    <w:p w14:paraId="78DC0E55" w14:textId="1E0886BE" w:rsidR="00C1542D" w:rsidRPr="00C1542D" w:rsidRDefault="00C1542D" w:rsidP="00C1542D">
      <w:pPr>
        <w:spacing w:before="100" w:beforeAutospacing="1" w:after="100" w:afterAutospacing="1" w:line="240" w:lineRule="auto"/>
        <w:rPr>
          <w:rFonts w:ascii="Calibri" w:eastAsia="Times New Roman" w:hAnsi="Calibri" w:cs="Calibri"/>
          <w:b/>
          <w:bCs/>
          <w:color w:val="FF0000"/>
          <w:sz w:val="28"/>
          <w:szCs w:val="28"/>
          <w:lang w:val="en-IN" w:eastAsia="en-GB"/>
        </w:rPr>
      </w:pPr>
      <w:r w:rsidRPr="00C1542D">
        <w:rPr>
          <w:rFonts w:ascii="Calibri" w:eastAsia="Times New Roman" w:hAnsi="Calibri" w:cs="Calibri"/>
          <w:b/>
          <w:bCs/>
          <w:color w:val="FF0000"/>
          <w:sz w:val="28"/>
          <w:szCs w:val="28"/>
          <w:lang w:val="en-IN" w:eastAsia="en-GB"/>
        </w:rPr>
        <w:t>Genom</w:t>
      </w:r>
      <w:r>
        <w:rPr>
          <w:rFonts w:ascii="Calibri" w:eastAsia="Times New Roman" w:hAnsi="Calibri" w:cs="Calibri"/>
          <w:b/>
          <w:bCs/>
          <w:color w:val="FF0000"/>
          <w:sz w:val="28"/>
          <w:szCs w:val="28"/>
          <w:lang w:val="en-IN" w:eastAsia="en-GB"/>
        </w:rPr>
        <w:t>ic Studies</w:t>
      </w:r>
    </w:p>
    <w:p w14:paraId="67620D45" w14:textId="5A0AA350" w:rsidR="00B43878" w:rsidRDefault="00C1542D" w:rsidP="00C1542D">
      <w:pPr>
        <w:spacing w:before="100" w:beforeAutospacing="1" w:after="100" w:afterAutospacing="1" w:line="240" w:lineRule="auto"/>
        <w:rPr>
          <w:rFonts w:ascii="Calibri" w:eastAsia="Times New Roman" w:hAnsi="Calibri" w:cs="Calibri"/>
          <w:color w:val="000000" w:themeColor="text1"/>
          <w:lang w:val="en-IN" w:eastAsia="en-GB"/>
        </w:rPr>
      </w:pPr>
      <w:r>
        <w:rPr>
          <w:rFonts w:ascii="Calibri" w:eastAsia="Times New Roman" w:hAnsi="Calibri" w:cs="Calibri"/>
          <w:color w:val="000000" w:themeColor="text1"/>
          <w:lang w:val="en-IN" w:eastAsia="en-GB"/>
        </w:rPr>
        <w:t xml:space="preserve">The UK has participated in an international </w:t>
      </w:r>
      <w:r w:rsidR="008F15B5">
        <w:rPr>
          <w:rFonts w:ascii="Calibri" w:eastAsia="Times New Roman" w:hAnsi="Calibri" w:cs="Calibri"/>
          <w:color w:val="000000" w:themeColor="text1"/>
          <w:lang w:val="en-IN" w:eastAsia="en-GB"/>
        </w:rPr>
        <w:t>effort on the contribution of host genetic factors to disease severity, comprising m</w:t>
      </w:r>
      <w:r w:rsidRPr="00C1542D">
        <w:rPr>
          <w:rFonts w:ascii="Calibri" w:eastAsia="Times New Roman" w:hAnsi="Calibri" w:cs="Calibri"/>
          <w:color w:val="000000" w:themeColor="text1"/>
          <w:lang w:val="en-IN" w:eastAsia="en-GB"/>
        </w:rPr>
        <w:t>embers of the Humanitas COVID-19 Task Force in Milan Italy</w:t>
      </w:r>
      <w:r w:rsidR="008F15B5">
        <w:rPr>
          <w:rFonts w:ascii="Calibri" w:eastAsia="Times New Roman" w:hAnsi="Calibri" w:cs="Calibri"/>
          <w:color w:val="000000" w:themeColor="text1"/>
          <w:lang w:val="en-IN" w:eastAsia="en-GB"/>
        </w:rPr>
        <w:t xml:space="preserve"> and </w:t>
      </w:r>
      <w:r w:rsidRPr="00C1542D">
        <w:rPr>
          <w:rFonts w:ascii="Calibri" w:eastAsia="Times New Roman" w:hAnsi="Calibri" w:cs="Calibri"/>
          <w:color w:val="000000" w:themeColor="text1"/>
          <w:lang w:val="en-IN" w:eastAsia="en-GB"/>
        </w:rPr>
        <w:t>the members of the COVID-19 Host Genetics Initiative</w:t>
      </w:r>
      <w:r w:rsidR="008F52AC">
        <w:rPr>
          <w:rFonts w:ascii="Calibri" w:eastAsia="Times New Roman" w:hAnsi="Calibri" w:cs="Calibri"/>
          <w:color w:val="000000" w:themeColor="text1"/>
          <w:vertAlign w:val="superscript"/>
          <w:lang w:val="en-IN" w:eastAsia="en-GB"/>
        </w:rPr>
        <w:t>1</w:t>
      </w:r>
      <w:r w:rsidR="007A001F">
        <w:rPr>
          <w:rFonts w:ascii="Calibri" w:eastAsia="Times New Roman" w:hAnsi="Calibri" w:cs="Calibri"/>
          <w:color w:val="000000" w:themeColor="text1"/>
          <w:vertAlign w:val="superscript"/>
          <w:lang w:val="en-IN" w:eastAsia="en-GB"/>
        </w:rPr>
        <w:t>1</w:t>
      </w:r>
      <w:r w:rsidR="00182C25">
        <w:rPr>
          <w:rFonts w:ascii="Calibri" w:eastAsia="Times New Roman" w:hAnsi="Calibri" w:cs="Calibri"/>
          <w:color w:val="000000" w:themeColor="text1"/>
          <w:lang w:val="en-IN" w:eastAsia="en-GB"/>
        </w:rPr>
        <w:t xml:space="preserve">. </w:t>
      </w:r>
      <w:r w:rsidRPr="00C1542D">
        <w:rPr>
          <w:rFonts w:ascii="Calibri" w:eastAsia="Times New Roman" w:hAnsi="Calibri" w:cs="Calibri"/>
          <w:color w:val="000000" w:themeColor="text1"/>
          <w:lang w:val="en-IN" w:eastAsia="en-GB"/>
        </w:rPr>
        <w:t xml:space="preserve"> </w:t>
      </w:r>
      <w:r w:rsidR="00331CA4">
        <w:rPr>
          <w:rFonts w:ascii="Calibri" w:eastAsia="Times New Roman" w:hAnsi="Calibri" w:cs="Calibri"/>
          <w:color w:val="000000" w:themeColor="text1"/>
          <w:lang w:val="en-IN" w:eastAsia="en-GB"/>
        </w:rPr>
        <w:t xml:space="preserve">This effort has </w:t>
      </w:r>
      <w:r w:rsidR="00DD7C97">
        <w:rPr>
          <w:rFonts w:ascii="Calibri" w:eastAsia="Times New Roman" w:hAnsi="Calibri" w:cs="Calibri"/>
          <w:color w:val="000000" w:themeColor="text1"/>
          <w:lang w:val="en-IN" w:eastAsia="en-GB"/>
        </w:rPr>
        <w:t xml:space="preserve">identified </w:t>
      </w:r>
      <w:r w:rsidRPr="00C1542D">
        <w:rPr>
          <w:rFonts w:ascii="Calibri" w:eastAsia="Times New Roman" w:hAnsi="Calibri" w:cs="Calibri"/>
          <w:color w:val="000000" w:themeColor="text1"/>
          <w:lang w:val="en-IN" w:eastAsia="en-GB"/>
        </w:rPr>
        <w:t xml:space="preserve">a 3p21.31 gene cluster as a genetic susceptibility locus in patients with respiratory failure </w:t>
      </w:r>
      <w:r w:rsidR="00DD7C97">
        <w:rPr>
          <w:rFonts w:ascii="Calibri" w:eastAsia="Times New Roman" w:hAnsi="Calibri" w:cs="Calibri"/>
          <w:color w:val="000000" w:themeColor="text1"/>
          <w:lang w:val="en-IN" w:eastAsia="en-GB"/>
        </w:rPr>
        <w:t>due to COVID-19</w:t>
      </w:r>
      <w:r w:rsidR="007A001F">
        <w:rPr>
          <w:rFonts w:ascii="Calibri" w:eastAsia="Times New Roman" w:hAnsi="Calibri" w:cs="Calibri"/>
          <w:color w:val="000000" w:themeColor="text1"/>
          <w:vertAlign w:val="superscript"/>
          <w:lang w:val="en-IN" w:eastAsia="en-GB"/>
        </w:rPr>
        <w:t>12</w:t>
      </w:r>
      <w:r w:rsidR="00DD7C97">
        <w:rPr>
          <w:rFonts w:ascii="Calibri" w:eastAsia="Times New Roman" w:hAnsi="Calibri" w:cs="Calibri"/>
          <w:color w:val="000000" w:themeColor="text1"/>
          <w:lang w:val="en-IN" w:eastAsia="en-GB"/>
        </w:rPr>
        <w:t xml:space="preserve"> </w:t>
      </w:r>
      <w:r w:rsidRPr="00C1542D">
        <w:rPr>
          <w:rFonts w:ascii="Calibri" w:eastAsia="Times New Roman" w:hAnsi="Calibri" w:cs="Calibri"/>
          <w:color w:val="000000" w:themeColor="text1"/>
          <w:lang w:val="en-IN" w:eastAsia="en-GB"/>
        </w:rPr>
        <w:t>and confirmed a potential involvement of the ABO blood-group system</w:t>
      </w:r>
      <w:r w:rsidR="00DD7C97">
        <w:rPr>
          <w:rFonts w:ascii="Calibri" w:eastAsia="Times New Roman" w:hAnsi="Calibri" w:cs="Calibri"/>
          <w:color w:val="000000" w:themeColor="text1"/>
          <w:lang w:val="en-IN" w:eastAsia="en-GB"/>
        </w:rPr>
        <w:t xml:space="preserve"> to disease severity risk</w:t>
      </w:r>
      <w:r w:rsidRPr="00C1542D">
        <w:rPr>
          <w:rFonts w:ascii="Calibri" w:eastAsia="Times New Roman" w:hAnsi="Calibri" w:cs="Calibri"/>
          <w:color w:val="000000" w:themeColor="text1"/>
          <w:lang w:val="en-IN" w:eastAsia="en-GB"/>
        </w:rPr>
        <w:t>. These findings offered considerable insight to potential mechanism of the disease.</w:t>
      </w:r>
      <w:r w:rsidR="00DD7C97">
        <w:rPr>
          <w:rFonts w:ascii="Calibri" w:eastAsia="Times New Roman" w:hAnsi="Calibri" w:cs="Calibri"/>
          <w:color w:val="000000" w:themeColor="text1"/>
          <w:lang w:val="en-IN" w:eastAsia="en-GB"/>
        </w:rPr>
        <w:t xml:space="preserve"> </w:t>
      </w:r>
      <w:r w:rsidR="003A42DB">
        <w:rPr>
          <w:rFonts w:ascii="Calibri" w:eastAsia="Times New Roman" w:hAnsi="Calibri" w:cs="Calibri"/>
          <w:color w:val="000000" w:themeColor="text1"/>
          <w:lang w:val="en-IN" w:eastAsia="en-GB"/>
        </w:rPr>
        <w:t xml:space="preserve">Support for human genome studies should be continued </w:t>
      </w:r>
      <w:r w:rsidR="009C4B2F">
        <w:rPr>
          <w:rFonts w:ascii="Calibri" w:eastAsia="Times New Roman" w:hAnsi="Calibri" w:cs="Calibri"/>
          <w:color w:val="000000" w:themeColor="text1"/>
          <w:lang w:val="en-IN" w:eastAsia="en-GB"/>
        </w:rPr>
        <w:t xml:space="preserve">and enhanced via improved linkage of genomic data to CPRD held information. </w:t>
      </w:r>
      <w:r w:rsidR="00FB0771">
        <w:rPr>
          <w:rFonts w:ascii="Calibri" w:eastAsia="Times New Roman" w:hAnsi="Calibri" w:cs="Calibri"/>
          <w:color w:val="000000" w:themeColor="text1"/>
          <w:lang w:val="en-IN" w:eastAsia="en-GB"/>
        </w:rPr>
        <w:t xml:space="preserve">A National Framework could build and enhance the genomic </w:t>
      </w:r>
      <w:r w:rsidR="00210249">
        <w:rPr>
          <w:rFonts w:ascii="Calibri" w:eastAsia="Times New Roman" w:hAnsi="Calibri" w:cs="Calibri"/>
          <w:color w:val="000000" w:themeColor="text1"/>
          <w:lang w:val="en-IN" w:eastAsia="en-GB"/>
        </w:rPr>
        <w:t>response facilities to cope with future pandemics</w:t>
      </w:r>
    </w:p>
    <w:p w14:paraId="4A9EE9C7" w14:textId="652809B4" w:rsidR="00292E52" w:rsidRDefault="009C4B2F" w:rsidP="00C1542D">
      <w:pPr>
        <w:spacing w:before="100" w:beforeAutospacing="1" w:after="100" w:afterAutospacing="1" w:line="240" w:lineRule="auto"/>
        <w:rPr>
          <w:rFonts w:ascii="Calibri" w:eastAsia="Times New Roman" w:hAnsi="Calibri" w:cs="Calibri"/>
          <w:color w:val="000000" w:themeColor="text1"/>
          <w:lang w:val="en-IN" w:eastAsia="en-GB"/>
        </w:rPr>
      </w:pPr>
      <w:r>
        <w:rPr>
          <w:rFonts w:ascii="Calibri" w:eastAsia="Times New Roman" w:hAnsi="Calibri" w:cs="Calibri"/>
          <w:color w:val="000000" w:themeColor="text1"/>
          <w:lang w:val="en-IN" w:eastAsia="en-GB"/>
        </w:rPr>
        <w:t>In addition to studies of human genomic factors, sequencing of viral genomes using next generation sequencing protocols has established the phylogenetic tree of SARS CoV2 virus infection</w:t>
      </w:r>
      <w:r w:rsidR="00E23F0F">
        <w:rPr>
          <w:rFonts w:ascii="Calibri" w:eastAsia="Times New Roman" w:hAnsi="Calibri" w:cs="Calibri"/>
          <w:color w:val="000000" w:themeColor="text1"/>
          <w:lang w:val="en-IN" w:eastAsia="en-GB"/>
        </w:rPr>
        <w:t>. Th</w:t>
      </w:r>
      <w:r w:rsidR="00292E52">
        <w:rPr>
          <w:rFonts w:ascii="Calibri" w:eastAsia="Times New Roman" w:hAnsi="Calibri" w:cs="Calibri"/>
          <w:color w:val="000000" w:themeColor="text1"/>
          <w:lang w:val="en-IN" w:eastAsia="en-GB"/>
        </w:rPr>
        <w:t>i</w:t>
      </w:r>
      <w:r w:rsidR="00E23F0F">
        <w:rPr>
          <w:rFonts w:ascii="Calibri" w:eastAsia="Times New Roman" w:hAnsi="Calibri" w:cs="Calibri"/>
          <w:color w:val="000000" w:themeColor="text1"/>
          <w:lang w:val="en-IN" w:eastAsia="en-GB"/>
        </w:rPr>
        <w:t xml:space="preserve">s research has </w:t>
      </w:r>
      <w:r>
        <w:rPr>
          <w:rFonts w:ascii="Calibri" w:eastAsia="Times New Roman" w:hAnsi="Calibri" w:cs="Calibri"/>
          <w:color w:val="000000" w:themeColor="text1"/>
          <w:lang w:val="en-IN" w:eastAsia="en-GB"/>
        </w:rPr>
        <w:t>enabl</w:t>
      </w:r>
      <w:r w:rsidR="00E23F0F">
        <w:rPr>
          <w:rFonts w:ascii="Calibri" w:eastAsia="Times New Roman" w:hAnsi="Calibri" w:cs="Calibri"/>
          <w:color w:val="000000" w:themeColor="text1"/>
          <w:lang w:val="en-IN" w:eastAsia="en-GB"/>
        </w:rPr>
        <w:t>ed</w:t>
      </w:r>
      <w:r>
        <w:rPr>
          <w:rFonts w:ascii="Calibri" w:eastAsia="Times New Roman" w:hAnsi="Calibri" w:cs="Calibri"/>
          <w:color w:val="000000" w:themeColor="text1"/>
          <w:lang w:val="en-IN" w:eastAsia="en-GB"/>
        </w:rPr>
        <w:t xml:space="preserve"> identification of </w:t>
      </w:r>
      <w:r w:rsidR="00E23F0F">
        <w:rPr>
          <w:rFonts w:ascii="Calibri" w:eastAsia="Times New Roman" w:hAnsi="Calibri" w:cs="Calibri"/>
          <w:color w:val="000000" w:themeColor="text1"/>
          <w:lang w:val="en-IN" w:eastAsia="en-GB"/>
        </w:rPr>
        <w:t xml:space="preserve">the geographic origin of </w:t>
      </w:r>
      <w:r>
        <w:rPr>
          <w:rFonts w:ascii="Calibri" w:eastAsia="Times New Roman" w:hAnsi="Calibri" w:cs="Calibri"/>
          <w:color w:val="000000" w:themeColor="text1"/>
          <w:lang w:val="en-IN" w:eastAsia="en-GB"/>
        </w:rPr>
        <w:t>the virus</w:t>
      </w:r>
      <w:r w:rsidR="00E23F0F">
        <w:rPr>
          <w:rFonts w:ascii="Calibri" w:eastAsia="Times New Roman" w:hAnsi="Calibri" w:cs="Calibri"/>
          <w:color w:val="000000" w:themeColor="text1"/>
          <w:lang w:val="en-IN" w:eastAsia="en-GB"/>
        </w:rPr>
        <w:t xml:space="preserve"> entering</w:t>
      </w:r>
      <w:r>
        <w:rPr>
          <w:rFonts w:ascii="Calibri" w:eastAsia="Times New Roman" w:hAnsi="Calibri" w:cs="Calibri"/>
          <w:color w:val="000000" w:themeColor="text1"/>
          <w:lang w:val="en-IN" w:eastAsia="en-GB"/>
        </w:rPr>
        <w:t xml:space="preserve"> the UK</w:t>
      </w:r>
      <w:r w:rsidR="00E23F0F">
        <w:rPr>
          <w:rFonts w:ascii="Calibri" w:eastAsia="Times New Roman" w:hAnsi="Calibri" w:cs="Calibri"/>
          <w:color w:val="000000" w:themeColor="text1"/>
          <w:lang w:val="en-IN" w:eastAsia="en-GB"/>
        </w:rPr>
        <w:t xml:space="preserve"> population</w:t>
      </w:r>
      <w:r>
        <w:rPr>
          <w:rFonts w:ascii="Calibri" w:eastAsia="Times New Roman" w:hAnsi="Calibri" w:cs="Calibri"/>
          <w:color w:val="000000" w:themeColor="text1"/>
          <w:lang w:val="en-IN" w:eastAsia="en-GB"/>
        </w:rPr>
        <w:t xml:space="preserve"> (predominantly from </w:t>
      </w:r>
      <w:r w:rsidR="00791FBB">
        <w:rPr>
          <w:rFonts w:ascii="Calibri" w:eastAsia="Times New Roman" w:hAnsi="Calibri" w:cs="Calibri"/>
          <w:color w:val="000000" w:themeColor="text1"/>
          <w:lang w:val="en-IN" w:eastAsia="en-GB"/>
        </w:rPr>
        <w:t xml:space="preserve">Spain, France and </w:t>
      </w:r>
      <w:r>
        <w:rPr>
          <w:rFonts w:ascii="Calibri" w:eastAsia="Times New Roman" w:hAnsi="Calibri" w:cs="Calibri"/>
          <w:color w:val="000000" w:themeColor="text1"/>
          <w:lang w:val="en-IN" w:eastAsia="en-GB"/>
        </w:rPr>
        <w:t>Italy in the ‘ski’ season</w:t>
      </w:r>
      <w:r w:rsidR="008F52AC">
        <w:rPr>
          <w:rFonts w:ascii="Calibri" w:eastAsia="Times New Roman" w:hAnsi="Calibri" w:cs="Calibri"/>
          <w:color w:val="000000" w:themeColor="text1"/>
          <w:vertAlign w:val="superscript"/>
          <w:lang w:val="en-IN" w:eastAsia="en-GB"/>
        </w:rPr>
        <w:t>1</w:t>
      </w:r>
      <w:r w:rsidR="007A001F">
        <w:rPr>
          <w:rFonts w:ascii="Calibri" w:eastAsia="Times New Roman" w:hAnsi="Calibri" w:cs="Calibri"/>
          <w:color w:val="000000" w:themeColor="text1"/>
          <w:vertAlign w:val="superscript"/>
          <w:lang w:val="en-IN" w:eastAsia="en-GB"/>
        </w:rPr>
        <w:t>3</w:t>
      </w:r>
      <w:r w:rsidR="00E23F0F">
        <w:rPr>
          <w:rFonts w:ascii="Calibri" w:eastAsia="Times New Roman" w:hAnsi="Calibri" w:cs="Calibri"/>
          <w:color w:val="000000" w:themeColor="text1"/>
          <w:lang w:val="en-IN" w:eastAsia="en-GB"/>
        </w:rPr>
        <w:t xml:space="preserve">), </w:t>
      </w:r>
      <w:r>
        <w:rPr>
          <w:rFonts w:ascii="Calibri" w:eastAsia="Times New Roman" w:hAnsi="Calibri" w:cs="Calibri"/>
          <w:color w:val="000000" w:themeColor="text1"/>
          <w:lang w:val="en-IN" w:eastAsia="en-GB"/>
        </w:rPr>
        <w:t xml:space="preserve"> as well as tracking of virus evolution </w:t>
      </w:r>
      <w:r w:rsidR="00E23F0F">
        <w:rPr>
          <w:rFonts w:ascii="Calibri" w:eastAsia="Times New Roman" w:hAnsi="Calibri" w:cs="Calibri"/>
          <w:color w:val="000000" w:themeColor="text1"/>
          <w:lang w:val="en-IN" w:eastAsia="en-GB"/>
        </w:rPr>
        <w:t xml:space="preserve">during the outbreak which is relevant to potential match for and response to future vaccines. </w:t>
      </w:r>
    </w:p>
    <w:p w14:paraId="033E4059" w14:textId="177CD85F" w:rsidR="009C4B2F" w:rsidRDefault="00F82AEB" w:rsidP="00C1542D">
      <w:pPr>
        <w:spacing w:before="100" w:beforeAutospacing="1" w:after="100" w:afterAutospacing="1" w:line="240" w:lineRule="auto"/>
        <w:rPr>
          <w:rFonts w:ascii="Calibri" w:eastAsia="Times New Roman" w:hAnsi="Calibri" w:cs="Calibri"/>
          <w:color w:val="000000" w:themeColor="text1"/>
          <w:lang w:val="en-IN" w:eastAsia="en-GB"/>
        </w:rPr>
      </w:pPr>
      <w:r>
        <w:rPr>
          <w:rFonts w:ascii="Calibri" w:eastAsia="Times New Roman" w:hAnsi="Calibri" w:cs="Calibri"/>
          <w:color w:val="000000" w:themeColor="text1"/>
          <w:lang w:val="en-IN" w:eastAsia="en-GB"/>
        </w:rPr>
        <w:t>This effort included identification of the D614G mutated strain, which is more readily transmitted than the original strain, in part explaining the higher incidence of disease in the EU and US, but which, fortunately, does not alter disease severity</w:t>
      </w:r>
      <w:r w:rsidR="008F52AC">
        <w:rPr>
          <w:rFonts w:ascii="Calibri" w:eastAsia="Times New Roman" w:hAnsi="Calibri" w:cs="Calibri"/>
          <w:color w:val="000000" w:themeColor="text1"/>
          <w:vertAlign w:val="superscript"/>
          <w:lang w:val="en-IN" w:eastAsia="en-GB"/>
        </w:rPr>
        <w:t>1</w:t>
      </w:r>
      <w:r w:rsidR="007A001F">
        <w:rPr>
          <w:rFonts w:ascii="Calibri" w:eastAsia="Times New Roman" w:hAnsi="Calibri" w:cs="Calibri"/>
          <w:color w:val="000000" w:themeColor="text1"/>
          <w:vertAlign w:val="superscript"/>
          <w:lang w:val="en-IN" w:eastAsia="en-GB"/>
        </w:rPr>
        <w:t>4</w:t>
      </w:r>
      <w:r>
        <w:rPr>
          <w:rFonts w:ascii="Calibri" w:eastAsia="Times New Roman" w:hAnsi="Calibri" w:cs="Calibri"/>
          <w:color w:val="000000" w:themeColor="text1"/>
          <w:lang w:val="en-IN" w:eastAsia="en-GB"/>
        </w:rPr>
        <w:t>. Subsequent investigation has documented that it is readily inhibited by antibodies generated by vaccine strains based on the original D614 variant</w:t>
      </w:r>
      <w:r w:rsidR="007A001F">
        <w:rPr>
          <w:rFonts w:ascii="Calibri" w:eastAsia="Times New Roman" w:hAnsi="Calibri" w:cs="Calibri"/>
          <w:color w:val="000000" w:themeColor="text1"/>
          <w:vertAlign w:val="superscript"/>
          <w:lang w:val="en-IN" w:eastAsia="en-GB"/>
        </w:rPr>
        <w:t>15</w:t>
      </w:r>
      <w:r>
        <w:rPr>
          <w:rFonts w:ascii="Calibri" w:eastAsia="Times New Roman" w:hAnsi="Calibri" w:cs="Calibri"/>
          <w:color w:val="000000" w:themeColor="text1"/>
          <w:lang w:val="en-IN" w:eastAsia="en-GB"/>
        </w:rPr>
        <w:t>.</w:t>
      </w:r>
      <w:r w:rsidR="001656DE">
        <w:rPr>
          <w:rFonts w:ascii="Calibri" w:eastAsia="Times New Roman" w:hAnsi="Calibri" w:cs="Calibri"/>
          <w:color w:val="000000" w:themeColor="text1"/>
          <w:lang w:val="en-IN" w:eastAsia="en-GB"/>
        </w:rPr>
        <w:t xml:space="preserve"> Support for continued phylogenetic evaluation of SARS CoV2</w:t>
      </w:r>
      <w:r w:rsidR="0080257F">
        <w:rPr>
          <w:rFonts w:ascii="Calibri" w:eastAsia="Times New Roman" w:hAnsi="Calibri" w:cs="Calibri"/>
          <w:color w:val="000000" w:themeColor="text1"/>
          <w:lang w:val="en-IN" w:eastAsia="en-GB"/>
        </w:rPr>
        <w:t xml:space="preserve"> is essential to track infections and assess the potential for vaccine escape mutants during clinical trials of candidate vaccines and following introduction of community vaccination programs in future. </w:t>
      </w:r>
    </w:p>
    <w:p w14:paraId="5D637588" w14:textId="77777777" w:rsidR="00791FBB" w:rsidRPr="009C4B2F" w:rsidRDefault="00791FBB" w:rsidP="00C1542D">
      <w:pPr>
        <w:spacing w:before="100" w:beforeAutospacing="1" w:after="100" w:afterAutospacing="1" w:line="240" w:lineRule="auto"/>
        <w:rPr>
          <w:rFonts w:ascii="Calibri" w:eastAsia="Times New Roman" w:hAnsi="Calibri" w:cs="Calibri"/>
          <w:color w:val="000000" w:themeColor="text1"/>
          <w:lang w:val="en-IN" w:eastAsia="en-GB"/>
        </w:rPr>
      </w:pPr>
    </w:p>
    <w:p w14:paraId="62AEF7CA" w14:textId="19CEF262" w:rsidR="00451FA9" w:rsidRDefault="00852459" w:rsidP="00451FA9">
      <w:pPr>
        <w:autoSpaceDE w:val="0"/>
        <w:autoSpaceDN w:val="0"/>
        <w:adjustRightInd w:val="0"/>
        <w:spacing w:after="0" w:line="240" w:lineRule="auto"/>
        <w:rPr>
          <w:rFonts w:eastAsia="OTNEJMQuadraat" w:cstheme="minorHAnsi"/>
          <w:b/>
          <w:bCs/>
          <w:color w:val="C00000"/>
          <w:sz w:val="24"/>
          <w:szCs w:val="24"/>
        </w:rPr>
      </w:pPr>
      <w:r>
        <w:rPr>
          <w:rFonts w:eastAsia="OTNEJMQuadraat" w:cstheme="minorHAnsi"/>
          <w:b/>
          <w:bCs/>
          <w:color w:val="C00000"/>
          <w:sz w:val="24"/>
          <w:szCs w:val="24"/>
        </w:rPr>
        <w:t>References</w:t>
      </w:r>
    </w:p>
    <w:p w14:paraId="333569B3" w14:textId="702A12D7" w:rsidR="00852459" w:rsidRPr="00AB0743" w:rsidRDefault="00E605BB" w:rsidP="00092303">
      <w:pPr>
        <w:pStyle w:val="ListParagraph"/>
        <w:numPr>
          <w:ilvl w:val="0"/>
          <w:numId w:val="12"/>
        </w:numPr>
        <w:autoSpaceDE w:val="0"/>
        <w:autoSpaceDN w:val="0"/>
        <w:adjustRightInd w:val="0"/>
        <w:spacing w:after="0" w:line="240" w:lineRule="auto"/>
        <w:rPr>
          <w:rFonts w:eastAsia="OTNEJMQuadraat" w:cstheme="minorHAnsi"/>
          <w:b/>
          <w:bCs/>
          <w:color w:val="000000" w:themeColor="text1"/>
        </w:rPr>
      </w:pPr>
      <w:r w:rsidRPr="00AB0743">
        <w:rPr>
          <w:rFonts w:cstheme="minorHAnsi"/>
          <w:color w:val="000000" w:themeColor="text1"/>
          <w:shd w:val="clear" w:color="auto" w:fill="FFFFFF"/>
        </w:rPr>
        <w:t>Smith, PF, Dodds, M, Bentley D, Yeo K, and Rayner C. (2020). Dosing will be a key success factor in repurposing antivirals for COVID-19. </w:t>
      </w:r>
      <w:r w:rsidRPr="00AB0743">
        <w:rPr>
          <w:rStyle w:val="Emphasis"/>
          <w:rFonts w:cstheme="minorHAnsi"/>
          <w:color w:val="000000" w:themeColor="text1"/>
          <w:shd w:val="clear" w:color="auto" w:fill="FFFFFF"/>
        </w:rPr>
        <w:t>J. Clin. Pharmacol.</w:t>
      </w:r>
      <w:r w:rsidRPr="00AB0743">
        <w:rPr>
          <w:rFonts w:cstheme="minorHAnsi"/>
          <w:color w:val="000000" w:themeColor="text1"/>
          <w:shd w:val="clear" w:color="auto" w:fill="FFFFFF"/>
        </w:rPr>
        <w:t> doi:10.1111/bcp.14314. Epub ahead of print.</w:t>
      </w:r>
    </w:p>
    <w:p w14:paraId="1921A2EA" w14:textId="291E7680" w:rsidR="00E605BB" w:rsidRDefault="00AB0743" w:rsidP="00092303">
      <w:pPr>
        <w:pStyle w:val="ListParagraph"/>
        <w:numPr>
          <w:ilvl w:val="0"/>
          <w:numId w:val="12"/>
        </w:numPr>
        <w:autoSpaceDE w:val="0"/>
        <w:autoSpaceDN w:val="0"/>
        <w:adjustRightInd w:val="0"/>
        <w:spacing w:after="0" w:line="240" w:lineRule="auto"/>
        <w:rPr>
          <w:rFonts w:eastAsia="OTNEJMQuadraat" w:cstheme="minorHAnsi"/>
          <w:color w:val="000000" w:themeColor="text1"/>
        </w:rPr>
      </w:pPr>
      <w:r w:rsidRPr="00AB0743">
        <w:rPr>
          <w:rFonts w:eastAsia="OTNEJMQuadraat" w:cstheme="minorHAnsi"/>
          <w:color w:val="000000" w:themeColor="text1"/>
        </w:rPr>
        <w:t>Kamal MA, Gieschke R, Lemenuel‐Diot A, Beauchemin CA, Smith PF, Rayner CR. A drug‐disease model describing the effect of oseltamivir neuraminidase inhibition on influenza virus progression. Antimicrob Agents Chemother. 2015;59(9):5388‐5395.</w:t>
      </w:r>
    </w:p>
    <w:p w14:paraId="10B4E73E" w14:textId="7534ACEE" w:rsidR="00E03C67" w:rsidRPr="00A55308" w:rsidRDefault="00E03C67" w:rsidP="00092303">
      <w:pPr>
        <w:pStyle w:val="ListParagraph"/>
        <w:numPr>
          <w:ilvl w:val="0"/>
          <w:numId w:val="12"/>
        </w:numPr>
        <w:autoSpaceDE w:val="0"/>
        <w:autoSpaceDN w:val="0"/>
        <w:adjustRightInd w:val="0"/>
        <w:spacing w:after="0" w:line="240" w:lineRule="auto"/>
        <w:rPr>
          <w:rFonts w:eastAsia="OTNEJMQuadraat" w:cstheme="minorHAnsi"/>
          <w:color w:val="000000" w:themeColor="text1"/>
        </w:rPr>
      </w:pPr>
      <w:r w:rsidRPr="00E03C67">
        <w:rPr>
          <w:rFonts w:eastAsia="OTNEJMQuadraat" w:cstheme="minorHAnsi"/>
          <w:color w:val="000000" w:themeColor="text1"/>
        </w:rPr>
        <w:t>Rosenke K</w:t>
      </w:r>
      <w:r w:rsidRPr="00A55308">
        <w:rPr>
          <w:rFonts w:eastAsia="OTNEJMQuadraat" w:cstheme="minorHAnsi"/>
          <w:color w:val="000000" w:themeColor="text1"/>
        </w:rPr>
        <w:t>, Jarvis MA, Feldmann F et al. Hydroxychloroquine Proves Ineffective in Hamsters and Macaques Infected with SARS-CoV-2</w:t>
      </w:r>
      <w:r>
        <w:rPr>
          <w:rFonts w:eastAsia="OTNEJMQuadraat" w:cstheme="minorHAnsi"/>
          <w:color w:val="000000" w:themeColor="text1"/>
        </w:rPr>
        <w:t xml:space="preserve">. </w:t>
      </w:r>
      <w:r w:rsidRPr="00E03C67">
        <w:rPr>
          <w:rFonts w:eastAsia="OTNEJMQuadraat" w:cstheme="minorHAnsi"/>
          <w:color w:val="000000" w:themeColor="text1"/>
        </w:rPr>
        <w:t>bioRxiv 2020.06.10.145144; doi: https://doi.org/10.1101/2020.06.10.145144</w:t>
      </w:r>
    </w:p>
    <w:p w14:paraId="1A852437" w14:textId="29FE6C5B" w:rsidR="005024F4" w:rsidRPr="005024F4" w:rsidRDefault="005024F4" w:rsidP="00092303">
      <w:pPr>
        <w:pStyle w:val="ListParagraph"/>
        <w:widowControl w:val="0"/>
        <w:numPr>
          <w:ilvl w:val="0"/>
          <w:numId w:val="12"/>
        </w:numPr>
        <w:rPr>
          <w:rFonts w:cstheme="minorHAnsi"/>
        </w:rPr>
      </w:pPr>
      <w:r w:rsidRPr="005024F4">
        <w:rPr>
          <w:rFonts w:cstheme="minorHAnsi"/>
        </w:rPr>
        <w:t xml:space="preserve">Ackermann M, Verleden S, Kuehnel M, et al. Pulmonary Vascular Endothelialitis, Thrombosis, and Angiogenesis in Covid-19. May 21, 2020, at NEJM.org. DOI: 10.1056/NEJMoa2015432. </w:t>
      </w:r>
    </w:p>
    <w:p w14:paraId="2AF9BDA1" w14:textId="61674835" w:rsidR="005024F4" w:rsidRPr="00D00CCF" w:rsidRDefault="005024F4" w:rsidP="00092303">
      <w:pPr>
        <w:pStyle w:val="ListParagraph"/>
        <w:widowControl w:val="0"/>
        <w:numPr>
          <w:ilvl w:val="0"/>
          <w:numId w:val="12"/>
        </w:numPr>
        <w:tabs>
          <w:tab w:val="left" w:pos="1180"/>
        </w:tabs>
        <w:spacing w:before="1" w:after="0" w:line="252" w:lineRule="exact"/>
        <w:rPr>
          <w:rFonts w:eastAsia="Times New Roman" w:cstheme="minorHAnsi"/>
          <w:lang w:val="en-US"/>
        </w:rPr>
      </w:pPr>
      <w:r w:rsidRPr="005024F4">
        <w:rPr>
          <w:rFonts w:eastAsia="Times New Roman" w:cstheme="minorHAnsi"/>
          <w:lang w:val="en-US"/>
        </w:rPr>
        <w:t>Mag</w:t>
      </w:r>
      <w:r w:rsidRPr="005024F4">
        <w:rPr>
          <w:rFonts w:eastAsia="Times New Roman" w:cstheme="minorHAnsi"/>
          <w:spacing w:val="-2"/>
          <w:lang w:val="en-US"/>
        </w:rPr>
        <w:t>r</w:t>
      </w:r>
      <w:r w:rsidRPr="005024F4">
        <w:rPr>
          <w:rFonts w:eastAsia="Times New Roman" w:cstheme="minorHAnsi"/>
          <w:lang w:val="en-US"/>
        </w:rPr>
        <w:t xml:space="preserve">o </w:t>
      </w:r>
      <w:r w:rsidRPr="005024F4">
        <w:rPr>
          <w:rFonts w:eastAsia="Times New Roman" w:cstheme="minorHAnsi"/>
          <w:spacing w:val="-1"/>
          <w:lang w:val="en-US"/>
        </w:rPr>
        <w:t>C</w:t>
      </w:r>
      <w:r w:rsidRPr="005024F4">
        <w:rPr>
          <w:rFonts w:eastAsia="Times New Roman" w:cstheme="minorHAnsi"/>
          <w:lang w:val="en-US"/>
        </w:rPr>
        <w:t>, M</w:t>
      </w:r>
      <w:r w:rsidRPr="005024F4">
        <w:rPr>
          <w:rFonts w:eastAsia="Times New Roman" w:cstheme="minorHAnsi"/>
          <w:spacing w:val="-2"/>
          <w:lang w:val="en-US"/>
        </w:rPr>
        <w:t>u</w:t>
      </w:r>
      <w:r w:rsidRPr="005024F4">
        <w:rPr>
          <w:rFonts w:eastAsia="Times New Roman" w:cstheme="minorHAnsi"/>
          <w:lang w:val="en-US"/>
        </w:rPr>
        <w:t>lv</w:t>
      </w:r>
      <w:r w:rsidRPr="005024F4">
        <w:rPr>
          <w:rFonts w:eastAsia="Times New Roman" w:cstheme="minorHAnsi"/>
          <w:spacing w:val="-2"/>
          <w:lang w:val="en-US"/>
        </w:rPr>
        <w:t>e</w:t>
      </w:r>
      <w:r w:rsidRPr="005024F4">
        <w:rPr>
          <w:rFonts w:eastAsia="Times New Roman" w:cstheme="minorHAnsi"/>
          <w:lang w:val="en-US"/>
        </w:rPr>
        <w:t xml:space="preserve">y JJ, </w:t>
      </w:r>
      <w:r w:rsidRPr="005024F4">
        <w:rPr>
          <w:rFonts w:eastAsia="Times New Roman" w:cstheme="minorHAnsi"/>
          <w:spacing w:val="-4"/>
          <w:lang w:val="en-US"/>
        </w:rPr>
        <w:t>B</w:t>
      </w:r>
      <w:r w:rsidRPr="005024F4">
        <w:rPr>
          <w:rFonts w:eastAsia="Times New Roman" w:cstheme="minorHAnsi"/>
          <w:lang w:val="en-US"/>
        </w:rPr>
        <w:t>e</w:t>
      </w:r>
      <w:r w:rsidRPr="005024F4">
        <w:rPr>
          <w:rFonts w:eastAsia="Times New Roman" w:cstheme="minorHAnsi"/>
          <w:spacing w:val="-2"/>
          <w:lang w:val="en-US"/>
        </w:rPr>
        <w:t>r</w:t>
      </w:r>
      <w:r w:rsidRPr="005024F4">
        <w:rPr>
          <w:rFonts w:eastAsia="Times New Roman" w:cstheme="minorHAnsi"/>
          <w:lang w:val="en-US"/>
        </w:rPr>
        <w:t>l</w:t>
      </w:r>
      <w:r w:rsidRPr="005024F4">
        <w:rPr>
          <w:rFonts w:eastAsia="Times New Roman" w:cstheme="minorHAnsi"/>
          <w:spacing w:val="-2"/>
          <w:lang w:val="en-US"/>
        </w:rPr>
        <w:t>i</w:t>
      </w:r>
      <w:r w:rsidRPr="005024F4">
        <w:rPr>
          <w:rFonts w:eastAsia="Times New Roman" w:cstheme="minorHAnsi"/>
          <w:lang w:val="en-US"/>
        </w:rPr>
        <w:t xml:space="preserve">n </w:t>
      </w:r>
      <w:r w:rsidRPr="005024F4">
        <w:rPr>
          <w:rFonts w:eastAsia="Times New Roman" w:cstheme="minorHAnsi"/>
          <w:spacing w:val="-2"/>
          <w:lang w:val="en-US"/>
        </w:rPr>
        <w:t>D</w:t>
      </w:r>
      <w:r w:rsidRPr="005024F4">
        <w:rPr>
          <w:rFonts w:eastAsia="Times New Roman" w:cstheme="minorHAnsi"/>
          <w:lang w:val="en-US"/>
        </w:rPr>
        <w:t>, et</w:t>
      </w:r>
      <w:r w:rsidRPr="005024F4">
        <w:rPr>
          <w:rFonts w:eastAsia="Times New Roman" w:cstheme="minorHAnsi"/>
          <w:spacing w:val="1"/>
          <w:lang w:val="en-US"/>
        </w:rPr>
        <w:t xml:space="preserve"> </w:t>
      </w:r>
      <w:r w:rsidRPr="005024F4">
        <w:rPr>
          <w:rFonts w:eastAsia="Times New Roman" w:cstheme="minorHAnsi"/>
          <w:spacing w:val="-2"/>
          <w:lang w:val="en-US"/>
        </w:rPr>
        <w:t>a</w:t>
      </w:r>
      <w:r w:rsidRPr="005024F4">
        <w:rPr>
          <w:rFonts w:eastAsia="Times New Roman" w:cstheme="minorHAnsi"/>
          <w:lang w:val="en-US"/>
        </w:rPr>
        <w:t xml:space="preserve">l. </w:t>
      </w:r>
      <w:r w:rsidRPr="005024F4">
        <w:rPr>
          <w:rFonts w:eastAsia="Times New Roman" w:cstheme="minorHAnsi"/>
          <w:spacing w:val="-1"/>
          <w:lang w:val="en-US"/>
        </w:rPr>
        <w:t>C</w:t>
      </w:r>
      <w:r w:rsidRPr="005024F4">
        <w:rPr>
          <w:rFonts w:eastAsia="Times New Roman" w:cstheme="minorHAnsi"/>
          <w:spacing w:val="-3"/>
          <w:lang w:val="en-US"/>
        </w:rPr>
        <w:t>o</w:t>
      </w:r>
      <w:r w:rsidRPr="005024F4">
        <w:rPr>
          <w:rFonts w:eastAsia="Times New Roman" w:cstheme="minorHAnsi"/>
          <w:lang w:val="en-US"/>
        </w:rPr>
        <w:t>m</w:t>
      </w:r>
      <w:r w:rsidRPr="005024F4">
        <w:rPr>
          <w:rFonts w:eastAsia="Times New Roman" w:cstheme="minorHAnsi"/>
          <w:spacing w:val="-3"/>
          <w:lang w:val="en-US"/>
        </w:rPr>
        <w:t>p</w:t>
      </w:r>
      <w:r w:rsidRPr="005024F4">
        <w:rPr>
          <w:rFonts w:eastAsia="Times New Roman" w:cstheme="minorHAnsi"/>
          <w:lang w:val="en-US"/>
        </w:rPr>
        <w:t>l</w:t>
      </w:r>
      <w:r w:rsidRPr="005024F4">
        <w:rPr>
          <w:rFonts w:eastAsia="Times New Roman" w:cstheme="minorHAnsi"/>
          <w:spacing w:val="-2"/>
          <w:lang w:val="en-US"/>
        </w:rPr>
        <w:t>e</w:t>
      </w:r>
      <w:r w:rsidRPr="005024F4">
        <w:rPr>
          <w:rFonts w:eastAsia="Times New Roman" w:cstheme="minorHAnsi"/>
          <w:lang w:val="en-US"/>
        </w:rPr>
        <w:t>me</w:t>
      </w:r>
      <w:r w:rsidRPr="005024F4">
        <w:rPr>
          <w:rFonts w:eastAsia="Times New Roman" w:cstheme="minorHAnsi"/>
          <w:spacing w:val="-2"/>
          <w:lang w:val="en-US"/>
        </w:rPr>
        <w:t>n</w:t>
      </w:r>
      <w:r w:rsidRPr="005024F4">
        <w:rPr>
          <w:rFonts w:eastAsia="Times New Roman" w:cstheme="minorHAnsi"/>
          <w:lang w:val="en-US"/>
        </w:rPr>
        <w:t>t</w:t>
      </w:r>
      <w:r w:rsidRPr="005024F4">
        <w:rPr>
          <w:rFonts w:eastAsia="Times New Roman" w:cstheme="minorHAnsi"/>
          <w:spacing w:val="1"/>
          <w:lang w:val="en-US"/>
        </w:rPr>
        <w:t xml:space="preserve"> </w:t>
      </w:r>
      <w:r w:rsidRPr="005024F4">
        <w:rPr>
          <w:rFonts w:eastAsia="Times New Roman" w:cstheme="minorHAnsi"/>
          <w:lang w:val="en-US"/>
        </w:rPr>
        <w:t>a</w:t>
      </w:r>
      <w:r w:rsidRPr="005024F4">
        <w:rPr>
          <w:rFonts w:eastAsia="Times New Roman" w:cstheme="minorHAnsi"/>
          <w:spacing w:val="-2"/>
          <w:lang w:val="en-US"/>
        </w:rPr>
        <w:t>ss</w:t>
      </w:r>
      <w:r w:rsidRPr="005024F4">
        <w:rPr>
          <w:rFonts w:eastAsia="Times New Roman" w:cstheme="minorHAnsi"/>
          <w:lang w:val="en-US"/>
        </w:rPr>
        <w:t>oc</w:t>
      </w:r>
      <w:r w:rsidRPr="005024F4">
        <w:rPr>
          <w:rFonts w:eastAsia="Times New Roman" w:cstheme="minorHAnsi"/>
          <w:spacing w:val="1"/>
          <w:lang w:val="en-US"/>
        </w:rPr>
        <w:t>i</w:t>
      </w:r>
      <w:r w:rsidRPr="005024F4">
        <w:rPr>
          <w:rFonts w:eastAsia="Times New Roman" w:cstheme="minorHAnsi"/>
          <w:spacing w:val="-2"/>
          <w:lang w:val="en-US"/>
        </w:rPr>
        <w:t>a</w:t>
      </w:r>
      <w:r w:rsidRPr="005024F4">
        <w:rPr>
          <w:rFonts w:eastAsia="Times New Roman" w:cstheme="minorHAnsi"/>
          <w:lang w:val="en-US"/>
        </w:rPr>
        <w:t>ted</w:t>
      </w:r>
      <w:r w:rsidRPr="005024F4">
        <w:rPr>
          <w:rFonts w:eastAsia="Times New Roman" w:cstheme="minorHAnsi"/>
          <w:spacing w:val="-2"/>
          <w:lang w:val="en-US"/>
        </w:rPr>
        <w:t xml:space="preserve"> m</w:t>
      </w:r>
      <w:r w:rsidRPr="005024F4">
        <w:rPr>
          <w:rFonts w:eastAsia="Times New Roman" w:cstheme="minorHAnsi"/>
          <w:lang w:val="en-US"/>
        </w:rPr>
        <w:t>ic</w:t>
      </w:r>
      <w:r w:rsidRPr="005024F4">
        <w:rPr>
          <w:rFonts w:eastAsia="Times New Roman" w:cstheme="minorHAnsi"/>
          <w:spacing w:val="-2"/>
          <w:lang w:val="en-US"/>
        </w:rPr>
        <w:t>r</w:t>
      </w:r>
      <w:r w:rsidRPr="005024F4">
        <w:rPr>
          <w:rFonts w:eastAsia="Times New Roman" w:cstheme="minorHAnsi"/>
          <w:lang w:val="en-US"/>
        </w:rPr>
        <w:t>ova</w:t>
      </w:r>
      <w:r w:rsidRPr="005024F4">
        <w:rPr>
          <w:rFonts w:eastAsia="Times New Roman" w:cstheme="minorHAnsi"/>
          <w:spacing w:val="-2"/>
          <w:lang w:val="en-US"/>
        </w:rPr>
        <w:t>s</w:t>
      </w:r>
      <w:r w:rsidRPr="005024F4">
        <w:rPr>
          <w:rFonts w:eastAsia="Times New Roman" w:cstheme="minorHAnsi"/>
          <w:lang w:val="en-US"/>
        </w:rPr>
        <w:t>cu</w:t>
      </w:r>
      <w:r w:rsidRPr="005024F4">
        <w:rPr>
          <w:rFonts w:eastAsia="Times New Roman" w:cstheme="minorHAnsi"/>
          <w:spacing w:val="-2"/>
          <w:lang w:val="en-US"/>
        </w:rPr>
        <w:t>l</w:t>
      </w:r>
      <w:r w:rsidRPr="005024F4">
        <w:rPr>
          <w:rFonts w:eastAsia="Times New Roman" w:cstheme="minorHAnsi"/>
          <w:lang w:val="en-US"/>
        </w:rPr>
        <w:t>ar</w:t>
      </w:r>
      <w:r w:rsidRPr="005024F4">
        <w:rPr>
          <w:rFonts w:eastAsia="Times New Roman" w:cstheme="minorHAnsi"/>
          <w:spacing w:val="-2"/>
          <w:lang w:val="en-US"/>
        </w:rPr>
        <w:t xml:space="preserve"> </w:t>
      </w:r>
      <w:r w:rsidRPr="005024F4">
        <w:rPr>
          <w:rFonts w:eastAsia="Times New Roman" w:cstheme="minorHAnsi"/>
          <w:lang w:val="en-US"/>
        </w:rPr>
        <w:t>in</w:t>
      </w:r>
      <w:r w:rsidRPr="005024F4">
        <w:rPr>
          <w:rFonts w:eastAsia="Times New Roman" w:cstheme="minorHAnsi"/>
          <w:spacing w:val="-2"/>
          <w:lang w:val="en-US"/>
        </w:rPr>
        <w:t>j</w:t>
      </w:r>
      <w:r w:rsidRPr="005024F4">
        <w:rPr>
          <w:rFonts w:eastAsia="Times New Roman" w:cstheme="minorHAnsi"/>
          <w:lang w:val="en-US"/>
        </w:rPr>
        <w:t>u</w:t>
      </w:r>
      <w:r w:rsidRPr="005024F4">
        <w:rPr>
          <w:rFonts w:eastAsia="Times New Roman" w:cstheme="minorHAnsi"/>
          <w:spacing w:val="-2"/>
          <w:lang w:val="en-US"/>
        </w:rPr>
        <w:t>r</w:t>
      </w:r>
      <w:r w:rsidRPr="005024F4">
        <w:rPr>
          <w:rFonts w:eastAsia="Times New Roman" w:cstheme="minorHAnsi"/>
          <w:lang w:val="en-US"/>
        </w:rPr>
        <w:t>y and thr</w:t>
      </w:r>
      <w:r w:rsidRPr="005024F4">
        <w:rPr>
          <w:rFonts w:eastAsia="Times New Roman" w:cstheme="minorHAnsi"/>
          <w:spacing w:val="-3"/>
          <w:lang w:val="en-US"/>
        </w:rPr>
        <w:t>o</w:t>
      </w:r>
      <w:r w:rsidRPr="005024F4">
        <w:rPr>
          <w:rFonts w:eastAsia="Times New Roman" w:cstheme="minorHAnsi"/>
          <w:lang w:val="en-US"/>
        </w:rPr>
        <w:t>mb</w:t>
      </w:r>
      <w:r w:rsidRPr="005024F4">
        <w:rPr>
          <w:rFonts w:eastAsia="Times New Roman" w:cstheme="minorHAnsi"/>
          <w:spacing w:val="-3"/>
          <w:lang w:val="en-US"/>
        </w:rPr>
        <w:t>o</w:t>
      </w:r>
      <w:r w:rsidRPr="005024F4">
        <w:rPr>
          <w:rFonts w:eastAsia="Times New Roman" w:cstheme="minorHAnsi"/>
          <w:lang w:val="en-US"/>
        </w:rPr>
        <w:t>s</w:t>
      </w:r>
      <w:r w:rsidRPr="005024F4">
        <w:rPr>
          <w:rFonts w:eastAsia="Times New Roman" w:cstheme="minorHAnsi"/>
          <w:spacing w:val="-1"/>
          <w:lang w:val="en-US"/>
        </w:rPr>
        <w:t>i</w:t>
      </w:r>
      <w:r w:rsidRPr="005024F4">
        <w:rPr>
          <w:rFonts w:eastAsia="Times New Roman" w:cstheme="minorHAnsi"/>
          <w:lang w:val="en-US"/>
        </w:rPr>
        <w:t xml:space="preserve">s </w:t>
      </w:r>
      <w:r w:rsidRPr="005024F4">
        <w:rPr>
          <w:rFonts w:eastAsia="Times New Roman" w:cstheme="minorHAnsi"/>
          <w:spacing w:val="1"/>
          <w:lang w:val="en-US"/>
        </w:rPr>
        <w:t>i</w:t>
      </w:r>
      <w:r w:rsidRPr="005024F4">
        <w:rPr>
          <w:rFonts w:eastAsia="Times New Roman" w:cstheme="minorHAnsi"/>
          <w:lang w:val="en-US"/>
        </w:rPr>
        <w:t>n</w:t>
      </w:r>
      <w:r w:rsidRPr="005024F4">
        <w:rPr>
          <w:rFonts w:eastAsia="Times New Roman" w:cstheme="minorHAnsi"/>
          <w:spacing w:val="-3"/>
          <w:lang w:val="en-US"/>
        </w:rPr>
        <w:t xml:space="preserve"> </w:t>
      </w:r>
      <w:r w:rsidRPr="005024F4">
        <w:rPr>
          <w:rFonts w:eastAsia="Times New Roman" w:cstheme="minorHAnsi"/>
          <w:lang w:val="en-US"/>
        </w:rPr>
        <w:t>the</w:t>
      </w:r>
      <w:r w:rsidRPr="005024F4">
        <w:rPr>
          <w:rFonts w:eastAsia="Times New Roman" w:cstheme="minorHAnsi"/>
          <w:spacing w:val="-2"/>
          <w:lang w:val="en-US"/>
        </w:rPr>
        <w:t xml:space="preserve"> </w:t>
      </w:r>
      <w:r w:rsidRPr="005024F4">
        <w:rPr>
          <w:rFonts w:eastAsia="Times New Roman" w:cstheme="minorHAnsi"/>
          <w:lang w:val="en-US"/>
        </w:rPr>
        <w:t>pa</w:t>
      </w:r>
      <w:r w:rsidRPr="005024F4">
        <w:rPr>
          <w:rFonts w:eastAsia="Times New Roman" w:cstheme="minorHAnsi"/>
          <w:spacing w:val="-2"/>
          <w:lang w:val="en-US"/>
        </w:rPr>
        <w:t>t</w:t>
      </w:r>
      <w:r w:rsidRPr="005024F4">
        <w:rPr>
          <w:rFonts w:eastAsia="Times New Roman" w:cstheme="minorHAnsi"/>
          <w:lang w:val="en-US"/>
        </w:rPr>
        <w:t>hoge</w:t>
      </w:r>
      <w:r w:rsidRPr="005024F4">
        <w:rPr>
          <w:rFonts w:eastAsia="Times New Roman" w:cstheme="minorHAnsi"/>
          <w:spacing w:val="-2"/>
          <w:lang w:val="en-US"/>
        </w:rPr>
        <w:t>n</w:t>
      </w:r>
      <w:r w:rsidRPr="005024F4">
        <w:rPr>
          <w:rFonts w:eastAsia="Times New Roman" w:cstheme="minorHAnsi"/>
          <w:lang w:val="en-US"/>
        </w:rPr>
        <w:t>esis</w:t>
      </w:r>
      <w:r w:rsidRPr="005024F4">
        <w:rPr>
          <w:rFonts w:eastAsia="Times New Roman" w:cstheme="minorHAnsi"/>
          <w:spacing w:val="-2"/>
          <w:lang w:val="en-US"/>
        </w:rPr>
        <w:t xml:space="preserve"> </w:t>
      </w:r>
      <w:r w:rsidRPr="005024F4">
        <w:rPr>
          <w:rFonts w:eastAsia="Times New Roman" w:cstheme="minorHAnsi"/>
          <w:lang w:val="en-US"/>
        </w:rPr>
        <w:t>of</w:t>
      </w:r>
      <w:r w:rsidRPr="005024F4">
        <w:rPr>
          <w:rFonts w:eastAsia="Times New Roman" w:cstheme="minorHAnsi"/>
          <w:spacing w:val="-2"/>
          <w:lang w:val="en-US"/>
        </w:rPr>
        <w:t xml:space="preserve"> </w:t>
      </w:r>
      <w:r w:rsidRPr="005024F4">
        <w:rPr>
          <w:rFonts w:eastAsia="Times New Roman" w:cstheme="minorHAnsi"/>
          <w:lang w:val="en-US"/>
        </w:rPr>
        <w:t>sev</w:t>
      </w:r>
      <w:r w:rsidRPr="005024F4">
        <w:rPr>
          <w:rFonts w:eastAsia="Times New Roman" w:cstheme="minorHAnsi"/>
          <w:spacing w:val="-2"/>
          <w:lang w:val="en-US"/>
        </w:rPr>
        <w:t>e</w:t>
      </w:r>
      <w:r w:rsidRPr="005024F4">
        <w:rPr>
          <w:rFonts w:eastAsia="Times New Roman" w:cstheme="minorHAnsi"/>
          <w:lang w:val="en-US"/>
        </w:rPr>
        <w:t>re C</w:t>
      </w:r>
      <w:r w:rsidRPr="005024F4">
        <w:rPr>
          <w:rFonts w:eastAsia="Times New Roman" w:cstheme="minorHAnsi"/>
          <w:spacing w:val="-2"/>
          <w:lang w:val="en-US"/>
        </w:rPr>
        <w:t>OVI</w:t>
      </w:r>
      <w:r w:rsidRPr="005024F4">
        <w:rPr>
          <w:rFonts w:eastAsia="Times New Roman" w:cstheme="minorHAnsi"/>
          <w:spacing w:val="2"/>
          <w:lang w:val="en-US"/>
        </w:rPr>
        <w:t>D</w:t>
      </w:r>
      <w:r w:rsidRPr="005024F4">
        <w:rPr>
          <w:rFonts w:eastAsia="Times New Roman" w:cstheme="minorHAnsi"/>
          <w:spacing w:val="-2"/>
          <w:lang w:val="en-US"/>
        </w:rPr>
        <w:t>-</w:t>
      </w:r>
      <w:r w:rsidRPr="005024F4">
        <w:rPr>
          <w:rFonts w:eastAsia="Times New Roman" w:cstheme="minorHAnsi"/>
          <w:lang w:val="en-US"/>
        </w:rPr>
        <w:t>19 i</w:t>
      </w:r>
      <w:r w:rsidRPr="005024F4">
        <w:rPr>
          <w:rFonts w:eastAsia="Times New Roman" w:cstheme="minorHAnsi"/>
          <w:spacing w:val="-3"/>
          <w:lang w:val="en-US"/>
        </w:rPr>
        <w:t>n</w:t>
      </w:r>
      <w:r w:rsidRPr="005024F4">
        <w:rPr>
          <w:rFonts w:eastAsia="Times New Roman" w:cstheme="minorHAnsi"/>
          <w:lang w:val="en-US"/>
        </w:rPr>
        <w:t>fe</w:t>
      </w:r>
      <w:r w:rsidRPr="005024F4">
        <w:rPr>
          <w:rFonts w:eastAsia="Times New Roman" w:cstheme="minorHAnsi"/>
          <w:spacing w:val="-2"/>
          <w:lang w:val="en-US"/>
        </w:rPr>
        <w:t>c</w:t>
      </w:r>
      <w:r w:rsidRPr="005024F4">
        <w:rPr>
          <w:rFonts w:eastAsia="Times New Roman" w:cstheme="minorHAnsi"/>
          <w:lang w:val="en-US"/>
        </w:rPr>
        <w:t>tio</w:t>
      </w:r>
      <w:r w:rsidRPr="005024F4">
        <w:rPr>
          <w:rFonts w:eastAsia="Times New Roman" w:cstheme="minorHAnsi"/>
          <w:spacing w:val="-3"/>
          <w:lang w:val="en-US"/>
        </w:rPr>
        <w:t>n</w:t>
      </w:r>
      <w:r w:rsidRPr="005024F4">
        <w:rPr>
          <w:rFonts w:eastAsia="Times New Roman" w:cstheme="minorHAnsi"/>
          <w:lang w:val="en-US"/>
        </w:rPr>
        <w:t>:</w:t>
      </w:r>
      <w:r w:rsidRPr="005024F4">
        <w:rPr>
          <w:rFonts w:eastAsia="Times New Roman" w:cstheme="minorHAnsi"/>
          <w:spacing w:val="1"/>
          <w:lang w:val="en-US"/>
        </w:rPr>
        <w:t xml:space="preserve"> </w:t>
      </w:r>
      <w:r w:rsidRPr="005024F4">
        <w:rPr>
          <w:rFonts w:eastAsia="Times New Roman" w:cstheme="minorHAnsi"/>
          <w:lang w:val="en-US"/>
        </w:rPr>
        <w:t>a</w:t>
      </w:r>
      <w:r w:rsidRPr="005024F4">
        <w:rPr>
          <w:rFonts w:eastAsia="Times New Roman" w:cstheme="minorHAnsi"/>
          <w:spacing w:val="-2"/>
          <w:lang w:val="en-US"/>
        </w:rPr>
        <w:t xml:space="preserve"> </w:t>
      </w:r>
      <w:r w:rsidRPr="005024F4">
        <w:rPr>
          <w:rFonts w:eastAsia="Times New Roman" w:cstheme="minorHAnsi"/>
          <w:lang w:val="en-US"/>
        </w:rPr>
        <w:t>re</w:t>
      </w:r>
      <w:r w:rsidRPr="005024F4">
        <w:rPr>
          <w:rFonts w:eastAsia="Times New Roman" w:cstheme="minorHAnsi"/>
          <w:spacing w:val="-2"/>
          <w:lang w:val="en-US"/>
        </w:rPr>
        <w:t>p</w:t>
      </w:r>
      <w:r w:rsidRPr="005024F4">
        <w:rPr>
          <w:rFonts w:eastAsia="Times New Roman" w:cstheme="minorHAnsi"/>
          <w:lang w:val="en-US"/>
        </w:rPr>
        <w:t>o</w:t>
      </w:r>
      <w:r w:rsidRPr="005024F4">
        <w:rPr>
          <w:rFonts w:eastAsia="Times New Roman" w:cstheme="minorHAnsi"/>
          <w:spacing w:val="-2"/>
          <w:lang w:val="en-US"/>
        </w:rPr>
        <w:t>r</w:t>
      </w:r>
      <w:r w:rsidRPr="005024F4">
        <w:rPr>
          <w:rFonts w:eastAsia="Times New Roman" w:cstheme="minorHAnsi"/>
          <w:lang w:val="en-US"/>
        </w:rPr>
        <w:t>t</w:t>
      </w:r>
      <w:r w:rsidRPr="005024F4">
        <w:rPr>
          <w:rFonts w:eastAsia="Times New Roman" w:cstheme="minorHAnsi"/>
          <w:spacing w:val="1"/>
          <w:lang w:val="en-US"/>
        </w:rPr>
        <w:t xml:space="preserve"> </w:t>
      </w:r>
      <w:r w:rsidRPr="005024F4">
        <w:rPr>
          <w:rFonts w:eastAsia="Times New Roman" w:cstheme="minorHAnsi"/>
          <w:lang w:val="en-US"/>
        </w:rPr>
        <w:t>of</w:t>
      </w:r>
      <w:r w:rsidRPr="005024F4">
        <w:rPr>
          <w:rFonts w:eastAsia="Times New Roman" w:cstheme="minorHAnsi"/>
          <w:spacing w:val="-2"/>
          <w:lang w:val="en-US"/>
        </w:rPr>
        <w:t xml:space="preserve"> </w:t>
      </w:r>
      <w:r w:rsidRPr="005024F4">
        <w:rPr>
          <w:rFonts w:eastAsia="Times New Roman" w:cstheme="minorHAnsi"/>
          <w:lang w:val="en-US"/>
        </w:rPr>
        <w:t>f</w:t>
      </w:r>
      <w:r w:rsidRPr="005024F4">
        <w:rPr>
          <w:rFonts w:eastAsia="Times New Roman" w:cstheme="minorHAnsi"/>
          <w:spacing w:val="-2"/>
          <w:lang w:val="en-US"/>
        </w:rPr>
        <w:t>i</w:t>
      </w:r>
      <w:r w:rsidRPr="005024F4">
        <w:rPr>
          <w:rFonts w:eastAsia="Times New Roman" w:cstheme="minorHAnsi"/>
          <w:lang w:val="en-US"/>
        </w:rPr>
        <w:t xml:space="preserve">ve </w:t>
      </w:r>
      <w:r w:rsidRPr="005024F4">
        <w:rPr>
          <w:rFonts w:eastAsia="Times New Roman" w:cstheme="minorHAnsi"/>
          <w:spacing w:val="-2"/>
          <w:lang w:val="en-US"/>
        </w:rPr>
        <w:t>c</w:t>
      </w:r>
      <w:r w:rsidRPr="005024F4">
        <w:rPr>
          <w:rFonts w:eastAsia="Times New Roman" w:cstheme="minorHAnsi"/>
          <w:lang w:val="en-US"/>
        </w:rPr>
        <w:t>a</w:t>
      </w:r>
      <w:r w:rsidRPr="005024F4">
        <w:rPr>
          <w:rFonts w:eastAsia="Times New Roman" w:cstheme="minorHAnsi"/>
          <w:spacing w:val="-2"/>
          <w:lang w:val="en-US"/>
        </w:rPr>
        <w:t>s</w:t>
      </w:r>
      <w:r w:rsidRPr="005024F4">
        <w:rPr>
          <w:rFonts w:eastAsia="Times New Roman" w:cstheme="minorHAnsi"/>
          <w:lang w:val="en-US"/>
        </w:rPr>
        <w:t xml:space="preserve">es. </w:t>
      </w:r>
      <w:r w:rsidRPr="005024F4">
        <w:rPr>
          <w:rFonts w:eastAsia="Times New Roman" w:cstheme="minorHAnsi"/>
          <w:i/>
          <w:lang w:val="en-US"/>
        </w:rPr>
        <w:t>Tran</w:t>
      </w:r>
      <w:r w:rsidRPr="005024F4">
        <w:rPr>
          <w:rFonts w:eastAsia="Times New Roman" w:cstheme="minorHAnsi"/>
          <w:i/>
          <w:spacing w:val="-2"/>
          <w:lang w:val="en-US"/>
        </w:rPr>
        <w:t>s</w:t>
      </w:r>
      <w:r w:rsidRPr="005024F4">
        <w:rPr>
          <w:rFonts w:eastAsia="Times New Roman" w:cstheme="minorHAnsi"/>
          <w:i/>
          <w:lang w:val="en-US"/>
        </w:rPr>
        <w:t>la</w:t>
      </w:r>
      <w:r w:rsidRPr="005024F4">
        <w:rPr>
          <w:rFonts w:eastAsia="Times New Roman" w:cstheme="minorHAnsi"/>
          <w:i/>
          <w:spacing w:val="-2"/>
          <w:lang w:val="en-US"/>
        </w:rPr>
        <w:t>t</w:t>
      </w:r>
      <w:r w:rsidRPr="005024F4">
        <w:rPr>
          <w:rFonts w:eastAsia="Times New Roman" w:cstheme="minorHAnsi"/>
          <w:i/>
          <w:lang w:val="en-US"/>
        </w:rPr>
        <w:t>ion</w:t>
      </w:r>
      <w:r w:rsidRPr="005024F4">
        <w:rPr>
          <w:rFonts w:eastAsia="Times New Roman" w:cstheme="minorHAnsi"/>
          <w:i/>
          <w:spacing w:val="-3"/>
          <w:lang w:val="en-US"/>
        </w:rPr>
        <w:t>a</w:t>
      </w:r>
      <w:r w:rsidRPr="005024F4">
        <w:rPr>
          <w:rFonts w:eastAsia="Times New Roman" w:cstheme="minorHAnsi"/>
          <w:i/>
          <w:lang w:val="en-US"/>
        </w:rPr>
        <w:t>l</w:t>
      </w:r>
      <w:r w:rsidRPr="005024F4">
        <w:rPr>
          <w:rFonts w:eastAsia="Times New Roman" w:cstheme="minorHAnsi"/>
          <w:i/>
          <w:spacing w:val="1"/>
          <w:lang w:val="en-US"/>
        </w:rPr>
        <w:t xml:space="preserve"> </w:t>
      </w:r>
      <w:r w:rsidRPr="005024F4">
        <w:rPr>
          <w:rFonts w:eastAsia="Times New Roman" w:cstheme="minorHAnsi"/>
          <w:i/>
          <w:lang w:val="en-US"/>
        </w:rPr>
        <w:t>Re</w:t>
      </w:r>
      <w:r w:rsidRPr="005024F4">
        <w:rPr>
          <w:rFonts w:eastAsia="Times New Roman" w:cstheme="minorHAnsi"/>
          <w:i/>
          <w:spacing w:val="-2"/>
          <w:lang w:val="en-US"/>
        </w:rPr>
        <w:t>s</w:t>
      </w:r>
      <w:r w:rsidRPr="005024F4">
        <w:rPr>
          <w:rFonts w:eastAsia="Times New Roman" w:cstheme="minorHAnsi"/>
          <w:i/>
          <w:lang w:val="en-US"/>
        </w:rPr>
        <w:t>ea</w:t>
      </w:r>
      <w:r w:rsidRPr="005024F4">
        <w:rPr>
          <w:rFonts w:eastAsia="Times New Roman" w:cstheme="minorHAnsi"/>
          <w:i/>
          <w:spacing w:val="-2"/>
          <w:lang w:val="en-US"/>
        </w:rPr>
        <w:t>r</w:t>
      </w:r>
      <w:r w:rsidRPr="005024F4">
        <w:rPr>
          <w:rFonts w:eastAsia="Times New Roman" w:cstheme="minorHAnsi"/>
          <w:i/>
          <w:lang w:val="en-US"/>
        </w:rPr>
        <w:t>c</w:t>
      </w:r>
      <w:r w:rsidRPr="005024F4">
        <w:rPr>
          <w:rFonts w:eastAsia="Times New Roman" w:cstheme="minorHAnsi"/>
          <w:i/>
          <w:spacing w:val="1"/>
          <w:lang w:val="en-US"/>
        </w:rPr>
        <w:t>h</w:t>
      </w:r>
      <w:r w:rsidRPr="005024F4">
        <w:rPr>
          <w:rFonts w:eastAsia="Times New Roman" w:cstheme="minorHAnsi"/>
          <w:lang w:val="en-US"/>
        </w:rPr>
        <w:t xml:space="preserve">. </w:t>
      </w:r>
      <w:r w:rsidRPr="005024F4">
        <w:rPr>
          <w:rFonts w:eastAsia="Times New Roman" w:cstheme="minorHAnsi"/>
          <w:spacing w:val="-2"/>
          <w:lang w:val="en-US"/>
        </w:rPr>
        <w:t>A</w:t>
      </w:r>
      <w:r w:rsidRPr="005024F4">
        <w:rPr>
          <w:rFonts w:eastAsia="Times New Roman" w:cstheme="minorHAnsi"/>
          <w:spacing w:val="-3"/>
          <w:lang w:val="en-US"/>
        </w:rPr>
        <w:t>p</w:t>
      </w:r>
      <w:r w:rsidRPr="005024F4">
        <w:rPr>
          <w:rFonts w:eastAsia="Times New Roman" w:cstheme="minorHAnsi"/>
          <w:lang w:val="en-US"/>
        </w:rPr>
        <w:t>r</w:t>
      </w:r>
      <w:r w:rsidRPr="005024F4">
        <w:rPr>
          <w:rFonts w:eastAsia="Times New Roman" w:cstheme="minorHAnsi"/>
          <w:spacing w:val="-2"/>
          <w:lang w:val="en-US"/>
        </w:rPr>
        <w:t>i</w:t>
      </w:r>
      <w:r w:rsidRPr="005024F4">
        <w:rPr>
          <w:rFonts w:eastAsia="Times New Roman" w:cstheme="minorHAnsi"/>
          <w:lang w:val="en-US"/>
        </w:rPr>
        <w:t>l</w:t>
      </w:r>
      <w:r w:rsidRPr="005024F4">
        <w:rPr>
          <w:rFonts w:eastAsia="Times New Roman" w:cstheme="minorHAnsi"/>
          <w:spacing w:val="1"/>
          <w:lang w:val="en-US"/>
        </w:rPr>
        <w:t xml:space="preserve"> </w:t>
      </w:r>
      <w:r w:rsidRPr="005024F4">
        <w:rPr>
          <w:rFonts w:eastAsia="Times New Roman" w:cstheme="minorHAnsi"/>
          <w:lang w:val="en-US"/>
        </w:rPr>
        <w:t>2020.</w:t>
      </w:r>
      <w:r w:rsidRPr="005024F4">
        <w:rPr>
          <w:rFonts w:eastAsia="Times New Roman" w:cstheme="minorHAnsi"/>
          <w:spacing w:val="-3"/>
          <w:lang w:val="en-US"/>
        </w:rPr>
        <w:t xml:space="preserve"> </w:t>
      </w:r>
      <w:r w:rsidRPr="005024F4">
        <w:rPr>
          <w:rFonts w:eastAsia="Times New Roman" w:cstheme="minorHAnsi"/>
          <w:lang w:val="en-US"/>
        </w:rPr>
        <w:t>do</w:t>
      </w:r>
      <w:r w:rsidRPr="005024F4">
        <w:rPr>
          <w:rFonts w:eastAsia="Times New Roman" w:cstheme="minorHAnsi"/>
          <w:spacing w:val="-2"/>
          <w:lang w:val="en-US"/>
        </w:rPr>
        <w:t>i</w:t>
      </w:r>
      <w:r w:rsidRPr="005024F4">
        <w:rPr>
          <w:rFonts w:eastAsia="Times New Roman" w:cstheme="minorHAnsi"/>
          <w:lang w:val="en-US"/>
        </w:rPr>
        <w:t>:</w:t>
      </w:r>
      <w:r w:rsidRPr="005024F4">
        <w:rPr>
          <w:rFonts w:eastAsia="Times New Roman" w:cstheme="minorHAnsi"/>
          <w:spacing w:val="1"/>
          <w:lang w:val="en-US"/>
        </w:rPr>
        <w:t xml:space="preserve"> </w:t>
      </w:r>
      <w:r w:rsidRPr="005024F4">
        <w:rPr>
          <w:rFonts w:eastAsia="Times New Roman" w:cstheme="minorHAnsi"/>
          <w:lang w:val="en-US"/>
        </w:rPr>
        <w:t>10.</w:t>
      </w:r>
      <w:r w:rsidRPr="005024F4">
        <w:rPr>
          <w:rFonts w:eastAsia="Times New Roman" w:cstheme="minorHAnsi"/>
          <w:spacing w:val="-3"/>
          <w:lang w:val="en-US"/>
        </w:rPr>
        <w:t>1</w:t>
      </w:r>
      <w:r w:rsidRPr="005024F4">
        <w:rPr>
          <w:rFonts w:eastAsia="Times New Roman" w:cstheme="minorHAnsi"/>
          <w:lang w:val="en-US"/>
        </w:rPr>
        <w:t>016</w:t>
      </w:r>
      <w:r w:rsidRPr="005024F4">
        <w:rPr>
          <w:rFonts w:eastAsia="Times New Roman" w:cstheme="minorHAnsi"/>
          <w:spacing w:val="-2"/>
          <w:lang w:val="en-US"/>
        </w:rPr>
        <w:t>/</w:t>
      </w:r>
      <w:r w:rsidRPr="005024F4">
        <w:rPr>
          <w:rFonts w:eastAsia="Times New Roman" w:cstheme="minorHAnsi"/>
          <w:lang w:val="en-US"/>
        </w:rPr>
        <w:t>j</w:t>
      </w:r>
      <w:r w:rsidRPr="005024F4">
        <w:rPr>
          <w:rFonts w:eastAsia="Times New Roman" w:cstheme="minorHAnsi"/>
          <w:spacing w:val="-3"/>
          <w:lang w:val="en-US"/>
        </w:rPr>
        <w:t>.</w:t>
      </w:r>
      <w:r w:rsidRPr="005024F4">
        <w:rPr>
          <w:rFonts w:eastAsia="Times New Roman" w:cstheme="minorHAnsi"/>
          <w:lang w:val="en-US"/>
        </w:rPr>
        <w:t>tr</w:t>
      </w:r>
      <w:r w:rsidRPr="005024F4">
        <w:rPr>
          <w:rFonts w:eastAsia="Times New Roman" w:cstheme="minorHAnsi"/>
          <w:spacing w:val="-2"/>
          <w:lang w:val="en-US"/>
        </w:rPr>
        <w:t>s</w:t>
      </w:r>
      <w:r w:rsidRPr="005024F4">
        <w:rPr>
          <w:rFonts w:eastAsia="Times New Roman" w:cstheme="minorHAnsi"/>
          <w:lang w:val="en-US"/>
        </w:rPr>
        <w:t>l</w:t>
      </w:r>
      <w:r w:rsidRPr="005024F4">
        <w:rPr>
          <w:rFonts w:eastAsia="Times New Roman" w:cstheme="minorHAnsi"/>
          <w:spacing w:val="-3"/>
          <w:lang w:val="en-US"/>
        </w:rPr>
        <w:t>.</w:t>
      </w:r>
      <w:r w:rsidRPr="005024F4">
        <w:rPr>
          <w:rFonts w:eastAsia="Times New Roman" w:cstheme="minorHAnsi"/>
          <w:lang w:val="en-US"/>
        </w:rPr>
        <w:t>2020.04.0</w:t>
      </w:r>
      <w:r w:rsidRPr="005024F4">
        <w:rPr>
          <w:rFonts w:eastAsia="Times New Roman" w:cstheme="minorHAnsi"/>
          <w:spacing w:val="-3"/>
          <w:lang w:val="en-US"/>
        </w:rPr>
        <w:t>0</w:t>
      </w:r>
      <w:r w:rsidRPr="005024F4">
        <w:rPr>
          <w:rFonts w:eastAsia="Times New Roman" w:cstheme="minorHAnsi"/>
          <w:lang w:val="en-US"/>
        </w:rPr>
        <w:t>7.</w:t>
      </w:r>
      <w:r w:rsidRPr="00D00CCF">
        <w:rPr>
          <w:rFonts w:ascii="Harding-Bold" w:hAnsi="Harding-Bold" w:cs="Harding-Bold"/>
          <w:b/>
          <w:bCs/>
          <w:sz w:val="52"/>
          <w:szCs w:val="52"/>
        </w:rPr>
        <w:t xml:space="preserve"> </w:t>
      </w:r>
    </w:p>
    <w:p w14:paraId="49EC96A0" w14:textId="77777777" w:rsidR="005024F4" w:rsidRPr="005024F4" w:rsidRDefault="005024F4" w:rsidP="00092303">
      <w:pPr>
        <w:pStyle w:val="ListParagraph"/>
        <w:numPr>
          <w:ilvl w:val="0"/>
          <w:numId w:val="12"/>
        </w:numPr>
        <w:autoSpaceDE w:val="0"/>
        <w:autoSpaceDN w:val="0"/>
        <w:adjustRightInd w:val="0"/>
        <w:spacing w:after="0" w:line="240" w:lineRule="auto"/>
        <w:rPr>
          <w:rFonts w:ascii="Calibri" w:hAnsi="Calibri" w:cs="Calibri"/>
        </w:rPr>
      </w:pPr>
      <w:r w:rsidRPr="005024F4">
        <w:rPr>
          <w:rFonts w:ascii="Calibri" w:hAnsi="Calibri" w:cs="Calibri"/>
        </w:rPr>
        <w:t>Carvelli J, Demaria O, Vély F, Batista L, et al. Association of COVID-19 inflammation with</w:t>
      </w:r>
    </w:p>
    <w:p w14:paraId="18B927B6" w14:textId="30BFA7CB" w:rsidR="005024F4" w:rsidRPr="00092303" w:rsidRDefault="005024F4" w:rsidP="00092303">
      <w:pPr>
        <w:pStyle w:val="ListParagraph"/>
        <w:numPr>
          <w:ilvl w:val="0"/>
          <w:numId w:val="12"/>
        </w:numPr>
        <w:rPr>
          <w:rFonts w:cstheme="minorHAnsi"/>
        </w:rPr>
      </w:pPr>
      <w:r w:rsidRPr="00092303">
        <w:rPr>
          <w:rFonts w:ascii="Calibri" w:hAnsi="Calibri" w:cs="Calibri"/>
        </w:rPr>
        <w:t xml:space="preserve">activation of the C5a–C5aR1 axis. Nature 2020 accelerated review. </w:t>
      </w:r>
      <w:r w:rsidRPr="00092303">
        <w:rPr>
          <w:rFonts w:cstheme="minorHAnsi"/>
        </w:rPr>
        <w:t>https://doi.org/10.1038/s41586-020-2600-6.</w:t>
      </w:r>
    </w:p>
    <w:p w14:paraId="2551FC7F" w14:textId="200C738A" w:rsidR="000A022A" w:rsidRDefault="000A022A" w:rsidP="00092303">
      <w:pPr>
        <w:pStyle w:val="ListParagraph"/>
        <w:numPr>
          <w:ilvl w:val="0"/>
          <w:numId w:val="12"/>
        </w:numPr>
        <w:autoSpaceDE w:val="0"/>
        <w:autoSpaceDN w:val="0"/>
        <w:adjustRightInd w:val="0"/>
        <w:spacing w:after="0" w:line="240" w:lineRule="auto"/>
        <w:rPr>
          <w:rFonts w:eastAsia="OTNEJMQuadraat" w:cstheme="minorHAnsi"/>
          <w:color w:val="000000" w:themeColor="text1"/>
        </w:rPr>
      </w:pPr>
      <w:r w:rsidRPr="000A022A">
        <w:rPr>
          <w:rFonts w:eastAsia="OTNEJMQuadraat" w:cstheme="minorHAnsi"/>
          <w:color w:val="000000" w:themeColor="text1"/>
        </w:rPr>
        <w:t>BMJ 2020;370:m2670</w:t>
      </w:r>
      <w:r>
        <w:rPr>
          <w:rFonts w:eastAsia="OTNEJMQuadraat" w:cstheme="minorHAnsi"/>
          <w:color w:val="000000" w:themeColor="text1"/>
        </w:rPr>
        <w:t xml:space="preserve"> </w:t>
      </w:r>
      <w:hyperlink r:id="rId7" w:history="1">
        <w:r w:rsidRPr="006E02F4">
          <w:rPr>
            <w:rStyle w:val="Hyperlink"/>
            <w:rFonts w:eastAsia="OTNEJMQuadraat" w:cstheme="minorHAnsi"/>
          </w:rPr>
          <w:t>http://dx.doi.org/10.1136/bmj.m2670</w:t>
        </w:r>
      </w:hyperlink>
    </w:p>
    <w:p w14:paraId="2B6B459B" w14:textId="3919BCB6" w:rsidR="00A55308" w:rsidRPr="00A55308" w:rsidRDefault="006213A6" w:rsidP="00092303">
      <w:pPr>
        <w:pStyle w:val="ListParagraph"/>
        <w:numPr>
          <w:ilvl w:val="0"/>
          <w:numId w:val="12"/>
        </w:numPr>
        <w:autoSpaceDE w:val="0"/>
        <w:autoSpaceDN w:val="0"/>
        <w:adjustRightInd w:val="0"/>
        <w:spacing w:after="0" w:line="240" w:lineRule="auto"/>
        <w:rPr>
          <w:rStyle w:val="Hyperlink"/>
          <w:rFonts w:eastAsia="OTNEJMQuadraat" w:cstheme="minorHAnsi"/>
          <w:color w:val="000000" w:themeColor="text1"/>
          <w:u w:val="none"/>
        </w:rPr>
      </w:pPr>
      <w:hyperlink r:id="rId8" w:history="1">
        <w:r w:rsidR="00997E57" w:rsidRPr="006E02F4">
          <w:rPr>
            <w:rStyle w:val="Hyperlink"/>
            <w:rFonts w:eastAsia="OTNEJMQuadraat" w:cstheme="minorHAnsi"/>
          </w:rPr>
          <w:t>https://www.gov.uk/guidance/mhra-regulatory-flexibilities-resulting-from-coronavirus-covid-19</w:t>
        </w:r>
      </w:hyperlink>
    </w:p>
    <w:p w14:paraId="2B697699" w14:textId="0AFA6E2E" w:rsidR="00A55308" w:rsidRPr="00A55308" w:rsidRDefault="00A55308" w:rsidP="00092303">
      <w:pPr>
        <w:pStyle w:val="ListParagraph"/>
        <w:numPr>
          <w:ilvl w:val="0"/>
          <w:numId w:val="12"/>
        </w:numPr>
        <w:autoSpaceDE w:val="0"/>
        <w:autoSpaceDN w:val="0"/>
        <w:adjustRightInd w:val="0"/>
        <w:spacing w:after="0" w:line="240" w:lineRule="auto"/>
        <w:rPr>
          <w:rStyle w:val="Hyperlink"/>
          <w:rFonts w:eastAsia="OTNEJMQuadraat" w:cstheme="minorHAnsi"/>
          <w:color w:val="000000" w:themeColor="text1"/>
          <w:u w:val="none"/>
        </w:rPr>
      </w:pPr>
      <w:r>
        <w:rPr>
          <w:rStyle w:val="Hyperlink"/>
          <w:rFonts w:eastAsia="OTNEJMQuadraat" w:cstheme="minorHAnsi"/>
        </w:rPr>
        <w:t>https://www.cprd.com/home</w:t>
      </w:r>
    </w:p>
    <w:p w14:paraId="06E1AAC2" w14:textId="1D2A0523" w:rsidR="00A55308" w:rsidRDefault="00843CCE" w:rsidP="00092303">
      <w:pPr>
        <w:pStyle w:val="ListParagraph"/>
        <w:numPr>
          <w:ilvl w:val="0"/>
          <w:numId w:val="12"/>
        </w:numPr>
        <w:rPr>
          <w:rFonts w:cstheme="minorHAnsi"/>
        </w:rPr>
      </w:pPr>
      <w:r w:rsidRPr="00843CCE">
        <w:rPr>
          <w:rFonts w:cstheme="minorHAnsi"/>
        </w:rPr>
        <w:t xml:space="preserve">Elizabeth J. Williamson, Alex J. Walker, Krishnan Bhaskaran, et.al. OpenSAFELY: factors associated with COVID-19-related hospital death in the linked electronic health records of 17 million adult NHS patients. Nature accelerated Article Preview July 2020. </w:t>
      </w:r>
      <w:hyperlink r:id="rId9" w:history="1">
        <w:r w:rsidR="00AE6C77" w:rsidRPr="00525210">
          <w:rPr>
            <w:rStyle w:val="Hyperlink"/>
            <w:rFonts w:cstheme="minorHAnsi"/>
          </w:rPr>
          <w:t>https://doi.org/10.1038/s41586-020-2521-4</w:t>
        </w:r>
      </w:hyperlink>
    </w:p>
    <w:p w14:paraId="246A1028" w14:textId="0A031534" w:rsidR="00FD1C18" w:rsidRPr="00092303" w:rsidRDefault="006213A6" w:rsidP="00092303">
      <w:pPr>
        <w:pStyle w:val="ListParagraph"/>
        <w:numPr>
          <w:ilvl w:val="0"/>
          <w:numId w:val="12"/>
        </w:numPr>
        <w:autoSpaceDE w:val="0"/>
        <w:autoSpaceDN w:val="0"/>
        <w:adjustRightInd w:val="0"/>
        <w:spacing w:after="0" w:line="240" w:lineRule="auto"/>
        <w:rPr>
          <w:rStyle w:val="Hyperlink"/>
          <w:rFonts w:eastAsia="OTNEJMQuadraat" w:cstheme="minorHAnsi"/>
          <w:color w:val="000000" w:themeColor="text1"/>
          <w:u w:val="none"/>
        </w:rPr>
      </w:pPr>
      <w:hyperlink r:id="rId10" w:history="1">
        <w:r w:rsidR="007A001F" w:rsidRPr="007A001F">
          <w:rPr>
            <w:rStyle w:val="Hyperlink"/>
            <w:rFonts w:eastAsia="OTNEJMQuadraat" w:cstheme="minorHAnsi"/>
          </w:rPr>
          <w:t>https://www.covid19hg.org/</w:t>
        </w:r>
      </w:hyperlink>
    </w:p>
    <w:p w14:paraId="19B40C3F" w14:textId="77777777" w:rsidR="007A001F" w:rsidRPr="007A001F" w:rsidRDefault="007A001F" w:rsidP="00092303">
      <w:pPr>
        <w:pStyle w:val="ListParagraph"/>
        <w:numPr>
          <w:ilvl w:val="0"/>
          <w:numId w:val="12"/>
        </w:numPr>
        <w:autoSpaceDE w:val="0"/>
        <w:autoSpaceDN w:val="0"/>
        <w:adjustRightInd w:val="0"/>
        <w:spacing w:after="0" w:line="240" w:lineRule="auto"/>
        <w:rPr>
          <w:rFonts w:eastAsia="OTNEJMQuadraat" w:cstheme="minorHAnsi"/>
          <w:color w:val="000000" w:themeColor="text1"/>
        </w:rPr>
      </w:pPr>
      <w:r w:rsidRPr="007A001F">
        <w:rPr>
          <w:rFonts w:eastAsia="OTNEJMQuadraat" w:cstheme="minorHAnsi"/>
          <w:color w:val="000000" w:themeColor="text1"/>
        </w:rPr>
        <w:t>The Severe Covid-19 GWAS Group*. Genomewide Association Study of Severe Covid-19 with Respiratory Failure.  This article was published on June 17, 2020, at NEJM.org.</w:t>
      </w:r>
    </w:p>
    <w:p w14:paraId="1475BC93" w14:textId="1D14C04B" w:rsidR="007A001F" w:rsidRPr="00092303" w:rsidRDefault="00092303" w:rsidP="00092303">
      <w:pPr>
        <w:autoSpaceDE w:val="0"/>
        <w:autoSpaceDN w:val="0"/>
        <w:adjustRightInd w:val="0"/>
        <w:spacing w:after="0" w:line="240" w:lineRule="auto"/>
        <w:rPr>
          <w:rFonts w:eastAsia="OTNEJMQuadraat" w:cstheme="minorHAnsi"/>
          <w:color w:val="000000" w:themeColor="text1"/>
        </w:rPr>
      </w:pPr>
      <w:r>
        <w:rPr>
          <w:rFonts w:eastAsia="OTNEJMQuadraat" w:cstheme="minorHAnsi"/>
          <w:color w:val="000000" w:themeColor="text1"/>
        </w:rPr>
        <w:t xml:space="preserve">               </w:t>
      </w:r>
      <w:r w:rsidR="007A001F" w:rsidRPr="00092303">
        <w:rPr>
          <w:rFonts w:eastAsia="OTNEJMQuadraat" w:cstheme="minorHAnsi"/>
          <w:color w:val="000000" w:themeColor="text1"/>
        </w:rPr>
        <w:t>DOI: 10.1056/NEJMoa202028</w:t>
      </w:r>
    </w:p>
    <w:p w14:paraId="7BBEFFD2" w14:textId="77777777" w:rsidR="00092303" w:rsidRPr="00092303" w:rsidRDefault="006213A6" w:rsidP="00092303">
      <w:pPr>
        <w:pStyle w:val="ListParagraph"/>
        <w:numPr>
          <w:ilvl w:val="0"/>
          <w:numId w:val="12"/>
        </w:numPr>
        <w:autoSpaceDE w:val="0"/>
        <w:autoSpaceDN w:val="0"/>
        <w:adjustRightInd w:val="0"/>
        <w:spacing w:after="0" w:line="240" w:lineRule="auto"/>
        <w:rPr>
          <w:rStyle w:val="Hyperlink"/>
          <w:rFonts w:eastAsia="OTNEJMQuadraat" w:cstheme="minorHAnsi"/>
          <w:color w:val="000000" w:themeColor="text1"/>
          <w:u w:val="none"/>
        </w:rPr>
      </w:pPr>
      <w:hyperlink r:id="rId11" w:history="1">
        <w:r w:rsidR="00A55308" w:rsidRPr="00FA0CAD">
          <w:rPr>
            <w:rStyle w:val="Hyperlink"/>
            <w:rFonts w:eastAsia="OTNEJMQuadraat" w:cstheme="minorHAnsi"/>
          </w:rPr>
          <w:t>https://virological.org/t/preliminary-analysis-of-sars-cov-2-importation-establishment-of-uk-transmission-lineages/507</w:t>
        </w:r>
      </w:hyperlink>
    </w:p>
    <w:p w14:paraId="16B7A32D" w14:textId="14E40206" w:rsidR="00092303" w:rsidRPr="00092303" w:rsidRDefault="00092303" w:rsidP="00092303">
      <w:pPr>
        <w:pStyle w:val="ListParagraph"/>
        <w:autoSpaceDE w:val="0"/>
        <w:autoSpaceDN w:val="0"/>
        <w:adjustRightInd w:val="0"/>
        <w:spacing w:after="0" w:line="240" w:lineRule="auto"/>
        <w:rPr>
          <w:rFonts w:eastAsia="OTNEJMQuadraat" w:cstheme="minorHAnsi"/>
          <w:color w:val="000000" w:themeColor="text1"/>
        </w:rPr>
      </w:pPr>
      <w:r w:rsidRPr="00092303">
        <w:rPr>
          <w:rFonts w:eastAsia="OTNEJMQuadraat" w:cstheme="minorHAnsi"/>
          <w:color w:val="000000" w:themeColor="text1"/>
        </w:rPr>
        <w:t>Korber B et al. Tracking changes in SARS-CoV-2 Spike: evidence that D614G increases infectivity of the COVID-19 virus. Cell 2020; 182.</w:t>
      </w:r>
    </w:p>
    <w:p w14:paraId="403C5820" w14:textId="77777777" w:rsidR="007A001F" w:rsidRPr="00092303" w:rsidRDefault="007A001F" w:rsidP="00092303">
      <w:pPr>
        <w:pStyle w:val="ListParagraph"/>
        <w:numPr>
          <w:ilvl w:val="0"/>
          <w:numId w:val="12"/>
        </w:numPr>
        <w:autoSpaceDE w:val="0"/>
        <w:autoSpaceDN w:val="0"/>
        <w:adjustRightInd w:val="0"/>
        <w:spacing w:after="0" w:line="240" w:lineRule="auto"/>
        <w:rPr>
          <w:rFonts w:eastAsia="OTNEJMQuadraat" w:cstheme="minorHAnsi"/>
          <w:color w:val="000000" w:themeColor="text1"/>
        </w:rPr>
      </w:pPr>
      <w:r w:rsidRPr="00092303">
        <w:rPr>
          <w:rFonts w:eastAsia="OTNEJMQuadraat" w:cstheme="minorHAnsi"/>
          <w:color w:val="000000" w:themeColor="text1"/>
        </w:rPr>
        <w:t>Yurkovetskiy, L. et al. (2020) ‘SARS-CoV-2 Spike protein variant D614G increases infectivity and retains sensitivity to antibodies that target the receptor binding domain’, bioRxiv : the preprint server for biology. doi: 10.1101/2020.07.04.187757.</w:t>
      </w:r>
    </w:p>
    <w:p w14:paraId="27ED9C23" w14:textId="77777777" w:rsidR="007A001F" w:rsidRDefault="007A001F" w:rsidP="00092303">
      <w:pPr>
        <w:pStyle w:val="ListParagraph"/>
        <w:autoSpaceDE w:val="0"/>
        <w:autoSpaceDN w:val="0"/>
        <w:adjustRightInd w:val="0"/>
        <w:spacing w:after="0" w:line="240" w:lineRule="auto"/>
        <w:rPr>
          <w:rFonts w:eastAsia="OTNEJMQuadraat" w:cstheme="minorHAnsi"/>
          <w:color w:val="000000" w:themeColor="text1"/>
        </w:rPr>
      </w:pPr>
    </w:p>
    <w:p w14:paraId="2EB6C493" w14:textId="77777777" w:rsidR="00A55308" w:rsidRDefault="00A55308" w:rsidP="00A55308">
      <w:pPr>
        <w:pStyle w:val="ListParagraph"/>
        <w:autoSpaceDE w:val="0"/>
        <w:autoSpaceDN w:val="0"/>
        <w:adjustRightInd w:val="0"/>
        <w:spacing w:after="0" w:line="240" w:lineRule="auto"/>
        <w:rPr>
          <w:rFonts w:eastAsia="OTNEJMQuadraat" w:cstheme="minorHAnsi"/>
          <w:color w:val="000000" w:themeColor="text1"/>
        </w:rPr>
      </w:pPr>
    </w:p>
    <w:p w14:paraId="6D64EA8E" w14:textId="1E236B9D" w:rsidR="00451FA9" w:rsidRDefault="00451FA9" w:rsidP="00451FA9">
      <w:pPr>
        <w:autoSpaceDE w:val="0"/>
        <w:autoSpaceDN w:val="0"/>
        <w:adjustRightInd w:val="0"/>
        <w:spacing w:after="0" w:line="240" w:lineRule="auto"/>
        <w:rPr>
          <w:rFonts w:eastAsia="OTNEJMQuadraat" w:cstheme="minorHAnsi"/>
          <w:b/>
          <w:bCs/>
          <w:color w:val="C00000"/>
          <w:sz w:val="24"/>
          <w:szCs w:val="24"/>
        </w:rPr>
      </w:pPr>
    </w:p>
    <w:p w14:paraId="4FE439E1" w14:textId="77777777" w:rsidR="000A022A" w:rsidRDefault="000A022A" w:rsidP="00451FA9">
      <w:pPr>
        <w:autoSpaceDE w:val="0"/>
        <w:autoSpaceDN w:val="0"/>
        <w:adjustRightInd w:val="0"/>
        <w:spacing w:after="0" w:line="240" w:lineRule="auto"/>
        <w:rPr>
          <w:rFonts w:eastAsia="OTNEJMQuadraat" w:cstheme="minorHAnsi"/>
          <w:b/>
          <w:bCs/>
          <w:color w:val="C00000"/>
          <w:sz w:val="24"/>
          <w:szCs w:val="24"/>
        </w:rPr>
      </w:pPr>
    </w:p>
    <w:p w14:paraId="049D24CC" w14:textId="77777777" w:rsidR="00451FA9" w:rsidRDefault="00451FA9" w:rsidP="00451FA9">
      <w:pPr>
        <w:autoSpaceDE w:val="0"/>
        <w:autoSpaceDN w:val="0"/>
        <w:adjustRightInd w:val="0"/>
        <w:spacing w:after="0" w:line="240" w:lineRule="auto"/>
        <w:rPr>
          <w:rFonts w:eastAsia="OTNEJMQuadraat" w:cstheme="minorHAnsi"/>
        </w:rPr>
      </w:pPr>
    </w:p>
    <w:p w14:paraId="0B32DE6D" w14:textId="77777777" w:rsidR="00454C6C" w:rsidRPr="00454C6C" w:rsidRDefault="00454C6C">
      <w:pPr>
        <w:rPr>
          <w:b/>
          <w:bCs/>
          <w:color w:val="C00000"/>
          <w:sz w:val="24"/>
          <w:szCs w:val="24"/>
        </w:rPr>
      </w:pPr>
    </w:p>
    <w:sectPr w:rsidR="00454C6C" w:rsidRPr="00454C6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48DD7" w14:textId="77777777" w:rsidR="006213A6" w:rsidRDefault="006213A6" w:rsidP="00C346DE">
      <w:pPr>
        <w:spacing w:after="0" w:line="240" w:lineRule="auto"/>
      </w:pPr>
      <w:r>
        <w:separator/>
      </w:r>
    </w:p>
  </w:endnote>
  <w:endnote w:type="continuationSeparator" w:id="0">
    <w:p w14:paraId="3884252A" w14:textId="77777777" w:rsidR="006213A6" w:rsidRDefault="006213A6" w:rsidP="00C34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OTNEJMQuadraat">
    <w:altName w:val="Yu Gothic"/>
    <w:panose1 w:val="00000000000000000000"/>
    <w:charset w:val="80"/>
    <w:family w:val="roman"/>
    <w:notTrueType/>
    <w:pitch w:val="default"/>
    <w:sig w:usb0="00000001" w:usb1="08070000" w:usb2="00000010" w:usb3="00000000" w:csb0="00020000" w:csb1="00000000"/>
  </w:font>
  <w:font w:name="Harding-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9845629"/>
      <w:docPartObj>
        <w:docPartGallery w:val="Page Numbers (Bottom of Page)"/>
        <w:docPartUnique/>
      </w:docPartObj>
    </w:sdtPr>
    <w:sdtEndPr>
      <w:rPr>
        <w:noProof/>
      </w:rPr>
    </w:sdtEndPr>
    <w:sdtContent>
      <w:p w14:paraId="54119041" w14:textId="36DCB30B" w:rsidR="00C346DE" w:rsidRDefault="00C346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B1D348" w14:textId="77777777" w:rsidR="00C346DE" w:rsidRDefault="00C34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EBCCE" w14:textId="77777777" w:rsidR="006213A6" w:rsidRDefault="006213A6" w:rsidP="00C346DE">
      <w:pPr>
        <w:spacing w:after="0" w:line="240" w:lineRule="auto"/>
      </w:pPr>
      <w:r>
        <w:separator/>
      </w:r>
    </w:p>
  </w:footnote>
  <w:footnote w:type="continuationSeparator" w:id="0">
    <w:p w14:paraId="71B7E7F8" w14:textId="77777777" w:rsidR="006213A6" w:rsidRDefault="006213A6" w:rsidP="00C346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837F4"/>
    <w:multiLevelType w:val="hybridMultilevel"/>
    <w:tmpl w:val="AE1016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5094E"/>
    <w:multiLevelType w:val="hybridMultilevel"/>
    <w:tmpl w:val="A3FA4A4E"/>
    <w:lvl w:ilvl="0" w:tplc="196EF8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F75B16"/>
    <w:multiLevelType w:val="hybridMultilevel"/>
    <w:tmpl w:val="297E36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80BBF"/>
    <w:multiLevelType w:val="hybridMultilevel"/>
    <w:tmpl w:val="B48847B0"/>
    <w:lvl w:ilvl="0" w:tplc="8086FFC4">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2414576"/>
    <w:multiLevelType w:val="hybridMultilevel"/>
    <w:tmpl w:val="EF7860E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E7156"/>
    <w:multiLevelType w:val="hybridMultilevel"/>
    <w:tmpl w:val="671C0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524E89"/>
    <w:multiLevelType w:val="hybridMultilevel"/>
    <w:tmpl w:val="598A9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CC048B"/>
    <w:multiLevelType w:val="hybridMultilevel"/>
    <w:tmpl w:val="BEAA2952"/>
    <w:lvl w:ilvl="0" w:tplc="D54A01F8">
      <w:start w:val="1"/>
      <w:numFmt w:val="decimal"/>
      <w:lvlText w:val="%1."/>
      <w:lvlJc w:val="left"/>
      <w:pPr>
        <w:ind w:left="720" w:hanging="360"/>
      </w:pPr>
      <w:rPr>
        <w:rFonts w:eastAsiaTheme="minorHAnsi" w:hint="default"/>
        <w:b w:val="0"/>
        <w:color w:val="70707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DE7CD0"/>
    <w:multiLevelType w:val="hybridMultilevel"/>
    <w:tmpl w:val="26C0F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0842D7"/>
    <w:multiLevelType w:val="hybridMultilevel"/>
    <w:tmpl w:val="CD665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F97A32"/>
    <w:multiLevelType w:val="hybridMultilevel"/>
    <w:tmpl w:val="3418C2EC"/>
    <w:lvl w:ilvl="0" w:tplc="C8E2376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DD6AB6"/>
    <w:multiLevelType w:val="hybridMultilevel"/>
    <w:tmpl w:val="1AB01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3"/>
  </w:num>
  <w:num w:numId="5">
    <w:abstractNumId w:val="6"/>
  </w:num>
  <w:num w:numId="6">
    <w:abstractNumId w:val="9"/>
  </w:num>
  <w:num w:numId="7">
    <w:abstractNumId w:val="11"/>
  </w:num>
  <w:num w:numId="8">
    <w:abstractNumId w:val="7"/>
  </w:num>
  <w:num w:numId="9">
    <w:abstractNumId w:val="5"/>
  </w:num>
  <w:num w:numId="10">
    <w:abstractNumId w:val="4"/>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9F"/>
    <w:rsid w:val="00001C08"/>
    <w:rsid w:val="0000221E"/>
    <w:rsid w:val="0001039C"/>
    <w:rsid w:val="0001099F"/>
    <w:rsid w:val="00013AAB"/>
    <w:rsid w:val="00014DE4"/>
    <w:rsid w:val="0001728A"/>
    <w:rsid w:val="00017762"/>
    <w:rsid w:val="0001776C"/>
    <w:rsid w:val="00020491"/>
    <w:rsid w:val="00020DEC"/>
    <w:rsid w:val="000256C7"/>
    <w:rsid w:val="000319ED"/>
    <w:rsid w:val="00032737"/>
    <w:rsid w:val="000351C5"/>
    <w:rsid w:val="00044C8E"/>
    <w:rsid w:val="000504B5"/>
    <w:rsid w:val="000515CD"/>
    <w:rsid w:val="00051914"/>
    <w:rsid w:val="000519A7"/>
    <w:rsid w:val="00052387"/>
    <w:rsid w:val="00054C88"/>
    <w:rsid w:val="00055626"/>
    <w:rsid w:val="00056B7A"/>
    <w:rsid w:val="00065781"/>
    <w:rsid w:val="00075B01"/>
    <w:rsid w:val="00081D4B"/>
    <w:rsid w:val="000828A4"/>
    <w:rsid w:val="00082F38"/>
    <w:rsid w:val="000837EC"/>
    <w:rsid w:val="00083B96"/>
    <w:rsid w:val="000857DE"/>
    <w:rsid w:val="0008748D"/>
    <w:rsid w:val="00090CF8"/>
    <w:rsid w:val="00090F64"/>
    <w:rsid w:val="00092152"/>
    <w:rsid w:val="00092303"/>
    <w:rsid w:val="000927E7"/>
    <w:rsid w:val="00092C29"/>
    <w:rsid w:val="00092ED6"/>
    <w:rsid w:val="000935E2"/>
    <w:rsid w:val="00094BE3"/>
    <w:rsid w:val="00097AEB"/>
    <w:rsid w:val="000A022A"/>
    <w:rsid w:val="000A1225"/>
    <w:rsid w:val="000A1A21"/>
    <w:rsid w:val="000A6E99"/>
    <w:rsid w:val="000B2469"/>
    <w:rsid w:val="000B26F9"/>
    <w:rsid w:val="000B30F0"/>
    <w:rsid w:val="000B3497"/>
    <w:rsid w:val="000B7F7C"/>
    <w:rsid w:val="000C0310"/>
    <w:rsid w:val="000C271A"/>
    <w:rsid w:val="000C282C"/>
    <w:rsid w:val="000C4800"/>
    <w:rsid w:val="000C53FF"/>
    <w:rsid w:val="000D0332"/>
    <w:rsid w:val="000D096C"/>
    <w:rsid w:val="000D20F5"/>
    <w:rsid w:val="000D3521"/>
    <w:rsid w:val="000D38E5"/>
    <w:rsid w:val="000D59D3"/>
    <w:rsid w:val="000D75E4"/>
    <w:rsid w:val="000E07C7"/>
    <w:rsid w:val="000E34C6"/>
    <w:rsid w:val="000E6DCB"/>
    <w:rsid w:val="000F0EA9"/>
    <w:rsid w:val="000F1ED7"/>
    <w:rsid w:val="000F628E"/>
    <w:rsid w:val="000F6F54"/>
    <w:rsid w:val="00102A5B"/>
    <w:rsid w:val="00102B03"/>
    <w:rsid w:val="00103723"/>
    <w:rsid w:val="0010414B"/>
    <w:rsid w:val="001043B1"/>
    <w:rsid w:val="00105CCE"/>
    <w:rsid w:val="00105D84"/>
    <w:rsid w:val="00111ADD"/>
    <w:rsid w:val="00121CC9"/>
    <w:rsid w:val="0012451A"/>
    <w:rsid w:val="00124A1F"/>
    <w:rsid w:val="0012561B"/>
    <w:rsid w:val="00127583"/>
    <w:rsid w:val="001322EF"/>
    <w:rsid w:val="00136364"/>
    <w:rsid w:val="00143211"/>
    <w:rsid w:val="001453B7"/>
    <w:rsid w:val="001453F0"/>
    <w:rsid w:val="00145D22"/>
    <w:rsid w:val="00145DF9"/>
    <w:rsid w:val="00151F72"/>
    <w:rsid w:val="00152668"/>
    <w:rsid w:val="00155821"/>
    <w:rsid w:val="00156C7F"/>
    <w:rsid w:val="00160A3C"/>
    <w:rsid w:val="001656DE"/>
    <w:rsid w:val="0016581C"/>
    <w:rsid w:val="00167050"/>
    <w:rsid w:val="00167C99"/>
    <w:rsid w:val="00170715"/>
    <w:rsid w:val="00170F40"/>
    <w:rsid w:val="00171415"/>
    <w:rsid w:val="001727E7"/>
    <w:rsid w:val="00172F83"/>
    <w:rsid w:val="00177EF3"/>
    <w:rsid w:val="00182C25"/>
    <w:rsid w:val="0018527D"/>
    <w:rsid w:val="00185E36"/>
    <w:rsid w:val="001869C9"/>
    <w:rsid w:val="001902A6"/>
    <w:rsid w:val="001936E9"/>
    <w:rsid w:val="0019395F"/>
    <w:rsid w:val="001A0D13"/>
    <w:rsid w:val="001A1620"/>
    <w:rsid w:val="001A1B45"/>
    <w:rsid w:val="001B0596"/>
    <w:rsid w:val="001B062B"/>
    <w:rsid w:val="001B113D"/>
    <w:rsid w:val="001B2554"/>
    <w:rsid w:val="001B4100"/>
    <w:rsid w:val="001C22EE"/>
    <w:rsid w:val="001C3E45"/>
    <w:rsid w:val="001C48DE"/>
    <w:rsid w:val="001C6964"/>
    <w:rsid w:val="001C7E66"/>
    <w:rsid w:val="001D004D"/>
    <w:rsid w:val="001D4530"/>
    <w:rsid w:val="001E4A57"/>
    <w:rsid w:val="001E73C0"/>
    <w:rsid w:val="001F14BE"/>
    <w:rsid w:val="001F16F0"/>
    <w:rsid w:val="001F1CF6"/>
    <w:rsid w:val="001F4675"/>
    <w:rsid w:val="002019CD"/>
    <w:rsid w:val="00203197"/>
    <w:rsid w:val="00205A91"/>
    <w:rsid w:val="00206656"/>
    <w:rsid w:val="00210249"/>
    <w:rsid w:val="00211BFD"/>
    <w:rsid w:val="002133C0"/>
    <w:rsid w:val="00215336"/>
    <w:rsid w:val="00216BF5"/>
    <w:rsid w:val="00216D7A"/>
    <w:rsid w:val="0021701B"/>
    <w:rsid w:val="0022165C"/>
    <w:rsid w:val="00224936"/>
    <w:rsid w:val="0022680B"/>
    <w:rsid w:val="00236980"/>
    <w:rsid w:val="0024012A"/>
    <w:rsid w:val="00240355"/>
    <w:rsid w:val="00240C07"/>
    <w:rsid w:val="00243CD1"/>
    <w:rsid w:val="00243F5C"/>
    <w:rsid w:val="00246A73"/>
    <w:rsid w:val="002471E6"/>
    <w:rsid w:val="002502CA"/>
    <w:rsid w:val="002502DD"/>
    <w:rsid w:val="00250EEC"/>
    <w:rsid w:val="00254501"/>
    <w:rsid w:val="00255F7E"/>
    <w:rsid w:val="00256428"/>
    <w:rsid w:val="00262E59"/>
    <w:rsid w:val="0026473E"/>
    <w:rsid w:val="00266427"/>
    <w:rsid w:val="00272ADE"/>
    <w:rsid w:val="0027331A"/>
    <w:rsid w:val="0027360C"/>
    <w:rsid w:val="00274024"/>
    <w:rsid w:val="002747B6"/>
    <w:rsid w:val="00275680"/>
    <w:rsid w:val="002767A6"/>
    <w:rsid w:val="00277F4F"/>
    <w:rsid w:val="00285152"/>
    <w:rsid w:val="002866E6"/>
    <w:rsid w:val="00292E52"/>
    <w:rsid w:val="00294FB1"/>
    <w:rsid w:val="002A6A8B"/>
    <w:rsid w:val="002B132A"/>
    <w:rsid w:val="002B141B"/>
    <w:rsid w:val="002B1CDD"/>
    <w:rsid w:val="002B3C4B"/>
    <w:rsid w:val="002B41F2"/>
    <w:rsid w:val="002B5537"/>
    <w:rsid w:val="002B5B92"/>
    <w:rsid w:val="002B77F7"/>
    <w:rsid w:val="002C0F52"/>
    <w:rsid w:val="002C22E2"/>
    <w:rsid w:val="002C2970"/>
    <w:rsid w:val="002C3DE7"/>
    <w:rsid w:val="002C4527"/>
    <w:rsid w:val="002D1493"/>
    <w:rsid w:val="002D1574"/>
    <w:rsid w:val="002D1A7F"/>
    <w:rsid w:val="002D2EED"/>
    <w:rsid w:val="002D4554"/>
    <w:rsid w:val="002E08DB"/>
    <w:rsid w:val="002E7953"/>
    <w:rsid w:val="002F0756"/>
    <w:rsid w:val="002F13DF"/>
    <w:rsid w:val="002F15A7"/>
    <w:rsid w:val="002F3F45"/>
    <w:rsid w:val="002F6325"/>
    <w:rsid w:val="002F64F6"/>
    <w:rsid w:val="003002D3"/>
    <w:rsid w:val="003031B9"/>
    <w:rsid w:val="00303473"/>
    <w:rsid w:val="003071F0"/>
    <w:rsid w:val="0031002E"/>
    <w:rsid w:val="00314EE9"/>
    <w:rsid w:val="00315A5E"/>
    <w:rsid w:val="00317434"/>
    <w:rsid w:val="003179E7"/>
    <w:rsid w:val="00326426"/>
    <w:rsid w:val="00327AA4"/>
    <w:rsid w:val="00330508"/>
    <w:rsid w:val="00331CA4"/>
    <w:rsid w:val="00332D96"/>
    <w:rsid w:val="00334B0A"/>
    <w:rsid w:val="00335267"/>
    <w:rsid w:val="00335AE1"/>
    <w:rsid w:val="00336C4C"/>
    <w:rsid w:val="003412DE"/>
    <w:rsid w:val="003438E3"/>
    <w:rsid w:val="00345BB4"/>
    <w:rsid w:val="00352915"/>
    <w:rsid w:val="00353917"/>
    <w:rsid w:val="00355626"/>
    <w:rsid w:val="003568B6"/>
    <w:rsid w:val="003624C5"/>
    <w:rsid w:val="00363719"/>
    <w:rsid w:val="0036697F"/>
    <w:rsid w:val="003676EE"/>
    <w:rsid w:val="00371C52"/>
    <w:rsid w:val="00373141"/>
    <w:rsid w:val="00374BBC"/>
    <w:rsid w:val="00377717"/>
    <w:rsid w:val="003822E5"/>
    <w:rsid w:val="00386C94"/>
    <w:rsid w:val="00387470"/>
    <w:rsid w:val="00390303"/>
    <w:rsid w:val="00391FB2"/>
    <w:rsid w:val="00392DB2"/>
    <w:rsid w:val="00392EBD"/>
    <w:rsid w:val="00393B65"/>
    <w:rsid w:val="0039645C"/>
    <w:rsid w:val="00396D05"/>
    <w:rsid w:val="00396E33"/>
    <w:rsid w:val="00397CE7"/>
    <w:rsid w:val="003A374A"/>
    <w:rsid w:val="003A41A7"/>
    <w:rsid w:val="003A42DB"/>
    <w:rsid w:val="003A5D33"/>
    <w:rsid w:val="003B2BF3"/>
    <w:rsid w:val="003B4A3F"/>
    <w:rsid w:val="003B6D96"/>
    <w:rsid w:val="003C37E5"/>
    <w:rsid w:val="003C4374"/>
    <w:rsid w:val="003C58D0"/>
    <w:rsid w:val="003C6D2A"/>
    <w:rsid w:val="003D1A32"/>
    <w:rsid w:val="003D37C1"/>
    <w:rsid w:val="003D568F"/>
    <w:rsid w:val="003D5BD6"/>
    <w:rsid w:val="003D7C6B"/>
    <w:rsid w:val="003D7DE0"/>
    <w:rsid w:val="003E0BDC"/>
    <w:rsid w:val="003E1105"/>
    <w:rsid w:val="003E4B55"/>
    <w:rsid w:val="003E7A19"/>
    <w:rsid w:val="003F15AB"/>
    <w:rsid w:val="003F1CF5"/>
    <w:rsid w:val="003F2858"/>
    <w:rsid w:val="003F2AEC"/>
    <w:rsid w:val="003F2D15"/>
    <w:rsid w:val="003F3659"/>
    <w:rsid w:val="003F65CF"/>
    <w:rsid w:val="003F721A"/>
    <w:rsid w:val="00401418"/>
    <w:rsid w:val="0040319F"/>
    <w:rsid w:val="00403AB1"/>
    <w:rsid w:val="004040CB"/>
    <w:rsid w:val="00411A9A"/>
    <w:rsid w:val="00413748"/>
    <w:rsid w:val="00416B23"/>
    <w:rsid w:val="00417B15"/>
    <w:rsid w:val="0042095D"/>
    <w:rsid w:val="00421439"/>
    <w:rsid w:val="004258DF"/>
    <w:rsid w:val="00425DBC"/>
    <w:rsid w:val="0043423D"/>
    <w:rsid w:val="00435E5B"/>
    <w:rsid w:val="004446D7"/>
    <w:rsid w:val="00446BF1"/>
    <w:rsid w:val="00447189"/>
    <w:rsid w:val="00450684"/>
    <w:rsid w:val="00451FA9"/>
    <w:rsid w:val="00453A57"/>
    <w:rsid w:val="0045450F"/>
    <w:rsid w:val="00454C6C"/>
    <w:rsid w:val="004618BF"/>
    <w:rsid w:val="00463A7E"/>
    <w:rsid w:val="00464FF4"/>
    <w:rsid w:val="00466E08"/>
    <w:rsid w:val="0047188C"/>
    <w:rsid w:val="00471F2A"/>
    <w:rsid w:val="0047653A"/>
    <w:rsid w:val="0047690C"/>
    <w:rsid w:val="004872FC"/>
    <w:rsid w:val="00490F30"/>
    <w:rsid w:val="00492116"/>
    <w:rsid w:val="00493C0C"/>
    <w:rsid w:val="00496F4A"/>
    <w:rsid w:val="004A444D"/>
    <w:rsid w:val="004A679A"/>
    <w:rsid w:val="004A7F93"/>
    <w:rsid w:val="004B00B7"/>
    <w:rsid w:val="004B113B"/>
    <w:rsid w:val="004B16D0"/>
    <w:rsid w:val="004B1A08"/>
    <w:rsid w:val="004B1B2D"/>
    <w:rsid w:val="004B47A9"/>
    <w:rsid w:val="004B5A73"/>
    <w:rsid w:val="004B5BD2"/>
    <w:rsid w:val="004B5E32"/>
    <w:rsid w:val="004B7FA5"/>
    <w:rsid w:val="004C186D"/>
    <w:rsid w:val="004C1FD0"/>
    <w:rsid w:val="004C25D9"/>
    <w:rsid w:val="004C4E5E"/>
    <w:rsid w:val="004C5904"/>
    <w:rsid w:val="004C7410"/>
    <w:rsid w:val="004D1192"/>
    <w:rsid w:val="004D507E"/>
    <w:rsid w:val="004E6F00"/>
    <w:rsid w:val="004F28DE"/>
    <w:rsid w:val="004F38EA"/>
    <w:rsid w:val="004F3BE8"/>
    <w:rsid w:val="004F5398"/>
    <w:rsid w:val="004F7DEE"/>
    <w:rsid w:val="005009BC"/>
    <w:rsid w:val="00501209"/>
    <w:rsid w:val="00501A68"/>
    <w:rsid w:val="00501A6A"/>
    <w:rsid w:val="005024F4"/>
    <w:rsid w:val="00502977"/>
    <w:rsid w:val="005030D6"/>
    <w:rsid w:val="00510979"/>
    <w:rsid w:val="00510ECF"/>
    <w:rsid w:val="0051344D"/>
    <w:rsid w:val="0051458A"/>
    <w:rsid w:val="00516D14"/>
    <w:rsid w:val="005215BB"/>
    <w:rsid w:val="00521AFB"/>
    <w:rsid w:val="00525198"/>
    <w:rsid w:val="00525B20"/>
    <w:rsid w:val="00530CFF"/>
    <w:rsid w:val="00531A58"/>
    <w:rsid w:val="005359C8"/>
    <w:rsid w:val="00535CB6"/>
    <w:rsid w:val="00536C47"/>
    <w:rsid w:val="005416FA"/>
    <w:rsid w:val="005417F9"/>
    <w:rsid w:val="00550EBE"/>
    <w:rsid w:val="00554A55"/>
    <w:rsid w:val="00554E64"/>
    <w:rsid w:val="0055544B"/>
    <w:rsid w:val="005673EC"/>
    <w:rsid w:val="00573A1B"/>
    <w:rsid w:val="00574549"/>
    <w:rsid w:val="00580335"/>
    <w:rsid w:val="005821B0"/>
    <w:rsid w:val="0058238D"/>
    <w:rsid w:val="00583764"/>
    <w:rsid w:val="00583AEC"/>
    <w:rsid w:val="0058551A"/>
    <w:rsid w:val="00591AF3"/>
    <w:rsid w:val="00592DA0"/>
    <w:rsid w:val="005A40EE"/>
    <w:rsid w:val="005A4C28"/>
    <w:rsid w:val="005B0C2C"/>
    <w:rsid w:val="005B1776"/>
    <w:rsid w:val="005B1CDC"/>
    <w:rsid w:val="005B4654"/>
    <w:rsid w:val="005B5053"/>
    <w:rsid w:val="005C351C"/>
    <w:rsid w:val="005C7221"/>
    <w:rsid w:val="005C7357"/>
    <w:rsid w:val="005D2EAC"/>
    <w:rsid w:val="005D4721"/>
    <w:rsid w:val="005D4AAC"/>
    <w:rsid w:val="005D6D1E"/>
    <w:rsid w:val="005E206D"/>
    <w:rsid w:val="005E266B"/>
    <w:rsid w:val="005E41B0"/>
    <w:rsid w:val="005E6D7D"/>
    <w:rsid w:val="005E77D9"/>
    <w:rsid w:val="005F25E6"/>
    <w:rsid w:val="005F3244"/>
    <w:rsid w:val="005F4A10"/>
    <w:rsid w:val="005F4C90"/>
    <w:rsid w:val="005F4E76"/>
    <w:rsid w:val="005F5E59"/>
    <w:rsid w:val="005F7F02"/>
    <w:rsid w:val="0060231D"/>
    <w:rsid w:val="006038F1"/>
    <w:rsid w:val="00603CC2"/>
    <w:rsid w:val="00605D40"/>
    <w:rsid w:val="00605DD4"/>
    <w:rsid w:val="00614101"/>
    <w:rsid w:val="00617906"/>
    <w:rsid w:val="006203C6"/>
    <w:rsid w:val="006213A6"/>
    <w:rsid w:val="006277F0"/>
    <w:rsid w:val="00630806"/>
    <w:rsid w:val="00630B89"/>
    <w:rsid w:val="00632279"/>
    <w:rsid w:val="0063724C"/>
    <w:rsid w:val="006417EF"/>
    <w:rsid w:val="006431B4"/>
    <w:rsid w:val="00644DFE"/>
    <w:rsid w:val="00646890"/>
    <w:rsid w:val="006476FA"/>
    <w:rsid w:val="006515CB"/>
    <w:rsid w:val="00652332"/>
    <w:rsid w:val="00652549"/>
    <w:rsid w:val="00653EA2"/>
    <w:rsid w:val="00654B13"/>
    <w:rsid w:val="00656CA5"/>
    <w:rsid w:val="006578B7"/>
    <w:rsid w:val="006614D5"/>
    <w:rsid w:val="006654BC"/>
    <w:rsid w:val="00666434"/>
    <w:rsid w:val="0066686A"/>
    <w:rsid w:val="00670932"/>
    <w:rsid w:val="00670F95"/>
    <w:rsid w:val="00671335"/>
    <w:rsid w:val="0067231C"/>
    <w:rsid w:val="00674A2A"/>
    <w:rsid w:val="006756E5"/>
    <w:rsid w:val="00675B7A"/>
    <w:rsid w:val="0068093F"/>
    <w:rsid w:val="006820FB"/>
    <w:rsid w:val="00683B8C"/>
    <w:rsid w:val="00686D33"/>
    <w:rsid w:val="0069066A"/>
    <w:rsid w:val="006916D8"/>
    <w:rsid w:val="00691EAE"/>
    <w:rsid w:val="00695048"/>
    <w:rsid w:val="006A01DE"/>
    <w:rsid w:val="006A0488"/>
    <w:rsid w:val="006A3C58"/>
    <w:rsid w:val="006A6CA6"/>
    <w:rsid w:val="006A753C"/>
    <w:rsid w:val="006B1305"/>
    <w:rsid w:val="006B3294"/>
    <w:rsid w:val="006B359E"/>
    <w:rsid w:val="006B6082"/>
    <w:rsid w:val="006B68A3"/>
    <w:rsid w:val="006B73DB"/>
    <w:rsid w:val="006B7F41"/>
    <w:rsid w:val="006C11B4"/>
    <w:rsid w:val="006C49F5"/>
    <w:rsid w:val="006C5779"/>
    <w:rsid w:val="006C630A"/>
    <w:rsid w:val="006D15AA"/>
    <w:rsid w:val="006D1931"/>
    <w:rsid w:val="006D1B67"/>
    <w:rsid w:val="006D28CC"/>
    <w:rsid w:val="006D2A96"/>
    <w:rsid w:val="006D75B9"/>
    <w:rsid w:val="006E273B"/>
    <w:rsid w:val="006E7313"/>
    <w:rsid w:val="006F0A71"/>
    <w:rsid w:val="006F1C28"/>
    <w:rsid w:val="006F1EC2"/>
    <w:rsid w:val="006F351F"/>
    <w:rsid w:val="006F382A"/>
    <w:rsid w:val="006F73A6"/>
    <w:rsid w:val="006F7AED"/>
    <w:rsid w:val="00702431"/>
    <w:rsid w:val="0070340A"/>
    <w:rsid w:val="007042F9"/>
    <w:rsid w:val="007053D8"/>
    <w:rsid w:val="00707C72"/>
    <w:rsid w:val="007105D9"/>
    <w:rsid w:val="00717599"/>
    <w:rsid w:val="00724535"/>
    <w:rsid w:val="007261FC"/>
    <w:rsid w:val="0073457E"/>
    <w:rsid w:val="0073603B"/>
    <w:rsid w:val="007420F5"/>
    <w:rsid w:val="00745F6E"/>
    <w:rsid w:val="00747182"/>
    <w:rsid w:val="0074771A"/>
    <w:rsid w:val="007514B1"/>
    <w:rsid w:val="00752A6A"/>
    <w:rsid w:val="00754235"/>
    <w:rsid w:val="0075448E"/>
    <w:rsid w:val="007600A1"/>
    <w:rsid w:val="00760F0B"/>
    <w:rsid w:val="0076190E"/>
    <w:rsid w:val="00763F2C"/>
    <w:rsid w:val="007640D3"/>
    <w:rsid w:val="00765045"/>
    <w:rsid w:val="0076725F"/>
    <w:rsid w:val="00771272"/>
    <w:rsid w:val="00774089"/>
    <w:rsid w:val="007744DF"/>
    <w:rsid w:val="00780E02"/>
    <w:rsid w:val="00781007"/>
    <w:rsid w:val="00790F77"/>
    <w:rsid w:val="0079116F"/>
    <w:rsid w:val="00791FBB"/>
    <w:rsid w:val="00793D30"/>
    <w:rsid w:val="0079551A"/>
    <w:rsid w:val="0079588F"/>
    <w:rsid w:val="007A001F"/>
    <w:rsid w:val="007A5682"/>
    <w:rsid w:val="007A73A2"/>
    <w:rsid w:val="007B2A5F"/>
    <w:rsid w:val="007B616F"/>
    <w:rsid w:val="007B75B7"/>
    <w:rsid w:val="007C0066"/>
    <w:rsid w:val="007C038E"/>
    <w:rsid w:val="007C140D"/>
    <w:rsid w:val="007C4068"/>
    <w:rsid w:val="007C553F"/>
    <w:rsid w:val="007C5EE6"/>
    <w:rsid w:val="007C6FA6"/>
    <w:rsid w:val="007D177E"/>
    <w:rsid w:val="007D7AB8"/>
    <w:rsid w:val="007E446A"/>
    <w:rsid w:val="007E7E98"/>
    <w:rsid w:val="007F0D1A"/>
    <w:rsid w:val="007F3BEB"/>
    <w:rsid w:val="007F6652"/>
    <w:rsid w:val="007F7109"/>
    <w:rsid w:val="00801618"/>
    <w:rsid w:val="0080257F"/>
    <w:rsid w:val="00802C04"/>
    <w:rsid w:val="00802CB3"/>
    <w:rsid w:val="00804C11"/>
    <w:rsid w:val="00812560"/>
    <w:rsid w:val="00813FC2"/>
    <w:rsid w:val="008175B3"/>
    <w:rsid w:val="0082025F"/>
    <w:rsid w:val="00821373"/>
    <w:rsid w:val="008215EB"/>
    <w:rsid w:val="00823734"/>
    <w:rsid w:val="0082684C"/>
    <w:rsid w:val="00827727"/>
    <w:rsid w:val="0083634D"/>
    <w:rsid w:val="008400FC"/>
    <w:rsid w:val="0084298C"/>
    <w:rsid w:val="00843CCE"/>
    <w:rsid w:val="00852459"/>
    <w:rsid w:val="00854350"/>
    <w:rsid w:val="00855A44"/>
    <w:rsid w:val="00857E5C"/>
    <w:rsid w:val="0086276F"/>
    <w:rsid w:val="00866173"/>
    <w:rsid w:val="00866546"/>
    <w:rsid w:val="008678E8"/>
    <w:rsid w:val="0088105F"/>
    <w:rsid w:val="008823FF"/>
    <w:rsid w:val="00885B18"/>
    <w:rsid w:val="00887413"/>
    <w:rsid w:val="00890293"/>
    <w:rsid w:val="00890C30"/>
    <w:rsid w:val="00891DE7"/>
    <w:rsid w:val="00894E6C"/>
    <w:rsid w:val="00895B2D"/>
    <w:rsid w:val="00896A28"/>
    <w:rsid w:val="008971A1"/>
    <w:rsid w:val="008A4210"/>
    <w:rsid w:val="008A4B6D"/>
    <w:rsid w:val="008A59F3"/>
    <w:rsid w:val="008C06C7"/>
    <w:rsid w:val="008C3158"/>
    <w:rsid w:val="008C66E4"/>
    <w:rsid w:val="008C6D4D"/>
    <w:rsid w:val="008D04C1"/>
    <w:rsid w:val="008D0A1C"/>
    <w:rsid w:val="008D2029"/>
    <w:rsid w:val="008D2C08"/>
    <w:rsid w:val="008D6FDD"/>
    <w:rsid w:val="008E0D65"/>
    <w:rsid w:val="008E33BC"/>
    <w:rsid w:val="008E4CD4"/>
    <w:rsid w:val="008F15B5"/>
    <w:rsid w:val="008F52AC"/>
    <w:rsid w:val="008F6087"/>
    <w:rsid w:val="00900EAD"/>
    <w:rsid w:val="00911208"/>
    <w:rsid w:val="009148E9"/>
    <w:rsid w:val="009163E1"/>
    <w:rsid w:val="00917DF1"/>
    <w:rsid w:val="00921F64"/>
    <w:rsid w:val="00925778"/>
    <w:rsid w:val="00926678"/>
    <w:rsid w:val="009422FB"/>
    <w:rsid w:val="00942347"/>
    <w:rsid w:val="00946F4A"/>
    <w:rsid w:val="0095304C"/>
    <w:rsid w:val="00954531"/>
    <w:rsid w:val="009549E8"/>
    <w:rsid w:val="00963D66"/>
    <w:rsid w:val="0097014B"/>
    <w:rsid w:val="00972379"/>
    <w:rsid w:val="00975800"/>
    <w:rsid w:val="00980E14"/>
    <w:rsid w:val="0098156C"/>
    <w:rsid w:val="009829FC"/>
    <w:rsid w:val="00982CAD"/>
    <w:rsid w:val="00985F5B"/>
    <w:rsid w:val="0098631A"/>
    <w:rsid w:val="00986B10"/>
    <w:rsid w:val="00987E6D"/>
    <w:rsid w:val="00990FA5"/>
    <w:rsid w:val="009913EC"/>
    <w:rsid w:val="00991C4A"/>
    <w:rsid w:val="0099224F"/>
    <w:rsid w:val="0099640F"/>
    <w:rsid w:val="00997E57"/>
    <w:rsid w:val="009B01F1"/>
    <w:rsid w:val="009B55B6"/>
    <w:rsid w:val="009B6C21"/>
    <w:rsid w:val="009B73B3"/>
    <w:rsid w:val="009B79B3"/>
    <w:rsid w:val="009C4139"/>
    <w:rsid w:val="009C4B2F"/>
    <w:rsid w:val="009C4F2D"/>
    <w:rsid w:val="009C5FF1"/>
    <w:rsid w:val="009D0C54"/>
    <w:rsid w:val="009D1F62"/>
    <w:rsid w:val="009D42D9"/>
    <w:rsid w:val="009D4593"/>
    <w:rsid w:val="009D5018"/>
    <w:rsid w:val="009D5DEF"/>
    <w:rsid w:val="009D5E93"/>
    <w:rsid w:val="009E3B8E"/>
    <w:rsid w:val="009E3FC1"/>
    <w:rsid w:val="009F6AD5"/>
    <w:rsid w:val="00A02456"/>
    <w:rsid w:val="00A034F4"/>
    <w:rsid w:val="00A062B2"/>
    <w:rsid w:val="00A07A27"/>
    <w:rsid w:val="00A1097B"/>
    <w:rsid w:val="00A11250"/>
    <w:rsid w:val="00A151CB"/>
    <w:rsid w:val="00A17186"/>
    <w:rsid w:val="00A1784E"/>
    <w:rsid w:val="00A22092"/>
    <w:rsid w:val="00A23D6B"/>
    <w:rsid w:val="00A27F68"/>
    <w:rsid w:val="00A3155E"/>
    <w:rsid w:val="00A317A6"/>
    <w:rsid w:val="00A32463"/>
    <w:rsid w:val="00A34236"/>
    <w:rsid w:val="00A361E6"/>
    <w:rsid w:val="00A4348E"/>
    <w:rsid w:val="00A44DCE"/>
    <w:rsid w:val="00A47756"/>
    <w:rsid w:val="00A52DC4"/>
    <w:rsid w:val="00A55308"/>
    <w:rsid w:val="00A56AF2"/>
    <w:rsid w:val="00A70A15"/>
    <w:rsid w:val="00A71ECF"/>
    <w:rsid w:val="00A72337"/>
    <w:rsid w:val="00A747AD"/>
    <w:rsid w:val="00A75339"/>
    <w:rsid w:val="00A80E01"/>
    <w:rsid w:val="00A83E19"/>
    <w:rsid w:val="00A875F7"/>
    <w:rsid w:val="00A93F76"/>
    <w:rsid w:val="00A95035"/>
    <w:rsid w:val="00A969EA"/>
    <w:rsid w:val="00A96DFD"/>
    <w:rsid w:val="00AA02BF"/>
    <w:rsid w:val="00AA05D2"/>
    <w:rsid w:val="00AA1C97"/>
    <w:rsid w:val="00AA372E"/>
    <w:rsid w:val="00AA3D32"/>
    <w:rsid w:val="00AA45E7"/>
    <w:rsid w:val="00AA4792"/>
    <w:rsid w:val="00AA5F4F"/>
    <w:rsid w:val="00AB0120"/>
    <w:rsid w:val="00AB0743"/>
    <w:rsid w:val="00AB5B7A"/>
    <w:rsid w:val="00AC17C6"/>
    <w:rsid w:val="00AC2019"/>
    <w:rsid w:val="00AC22B4"/>
    <w:rsid w:val="00AC59B2"/>
    <w:rsid w:val="00AC6489"/>
    <w:rsid w:val="00AD1BD2"/>
    <w:rsid w:val="00AD3CBA"/>
    <w:rsid w:val="00AD3D4A"/>
    <w:rsid w:val="00AD5178"/>
    <w:rsid w:val="00AD7219"/>
    <w:rsid w:val="00AE1264"/>
    <w:rsid w:val="00AE286D"/>
    <w:rsid w:val="00AE6C77"/>
    <w:rsid w:val="00AE72D0"/>
    <w:rsid w:val="00AF2DB0"/>
    <w:rsid w:val="00AF3B0B"/>
    <w:rsid w:val="00AF52C9"/>
    <w:rsid w:val="00B0594A"/>
    <w:rsid w:val="00B1185F"/>
    <w:rsid w:val="00B13DEB"/>
    <w:rsid w:val="00B168B7"/>
    <w:rsid w:val="00B20A19"/>
    <w:rsid w:val="00B22664"/>
    <w:rsid w:val="00B2576B"/>
    <w:rsid w:val="00B3141A"/>
    <w:rsid w:val="00B32351"/>
    <w:rsid w:val="00B324B4"/>
    <w:rsid w:val="00B325E3"/>
    <w:rsid w:val="00B33C42"/>
    <w:rsid w:val="00B34B05"/>
    <w:rsid w:val="00B3510C"/>
    <w:rsid w:val="00B35D5A"/>
    <w:rsid w:val="00B35E2D"/>
    <w:rsid w:val="00B43878"/>
    <w:rsid w:val="00B45F48"/>
    <w:rsid w:val="00B55CC0"/>
    <w:rsid w:val="00B566F1"/>
    <w:rsid w:val="00B57C31"/>
    <w:rsid w:val="00B60736"/>
    <w:rsid w:val="00B63FBB"/>
    <w:rsid w:val="00B649FF"/>
    <w:rsid w:val="00B64F9F"/>
    <w:rsid w:val="00B67AD4"/>
    <w:rsid w:val="00B70949"/>
    <w:rsid w:val="00B72F87"/>
    <w:rsid w:val="00B7432C"/>
    <w:rsid w:val="00B74855"/>
    <w:rsid w:val="00B748B2"/>
    <w:rsid w:val="00B86780"/>
    <w:rsid w:val="00B933CC"/>
    <w:rsid w:val="00B953AD"/>
    <w:rsid w:val="00B9590F"/>
    <w:rsid w:val="00BA124A"/>
    <w:rsid w:val="00BA4389"/>
    <w:rsid w:val="00BA59EB"/>
    <w:rsid w:val="00BA647A"/>
    <w:rsid w:val="00BA6656"/>
    <w:rsid w:val="00BA7A8A"/>
    <w:rsid w:val="00BA7E0B"/>
    <w:rsid w:val="00BB177D"/>
    <w:rsid w:val="00BB2140"/>
    <w:rsid w:val="00BB2D76"/>
    <w:rsid w:val="00BB3973"/>
    <w:rsid w:val="00BB6C18"/>
    <w:rsid w:val="00BC2C5F"/>
    <w:rsid w:val="00BC3373"/>
    <w:rsid w:val="00BD21D7"/>
    <w:rsid w:val="00BE3D42"/>
    <w:rsid w:val="00BF2B6A"/>
    <w:rsid w:val="00BF395E"/>
    <w:rsid w:val="00BF5850"/>
    <w:rsid w:val="00BF5A0C"/>
    <w:rsid w:val="00BF6CE8"/>
    <w:rsid w:val="00BF74B9"/>
    <w:rsid w:val="00BF7867"/>
    <w:rsid w:val="00C0124F"/>
    <w:rsid w:val="00C04A9A"/>
    <w:rsid w:val="00C05A36"/>
    <w:rsid w:val="00C14917"/>
    <w:rsid w:val="00C1542D"/>
    <w:rsid w:val="00C20791"/>
    <w:rsid w:val="00C229F6"/>
    <w:rsid w:val="00C22ED0"/>
    <w:rsid w:val="00C23BC9"/>
    <w:rsid w:val="00C25847"/>
    <w:rsid w:val="00C346DE"/>
    <w:rsid w:val="00C35128"/>
    <w:rsid w:val="00C3667E"/>
    <w:rsid w:val="00C36777"/>
    <w:rsid w:val="00C37CC7"/>
    <w:rsid w:val="00C45627"/>
    <w:rsid w:val="00C45CFA"/>
    <w:rsid w:val="00C513A2"/>
    <w:rsid w:val="00C51E55"/>
    <w:rsid w:val="00C523C2"/>
    <w:rsid w:val="00C5438A"/>
    <w:rsid w:val="00C555FA"/>
    <w:rsid w:val="00C61263"/>
    <w:rsid w:val="00C619D1"/>
    <w:rsid w:val="00C624EB"/>
    <w:rsid w:val="00C6297E"/>
    <w:rsid w:val="00C717A0"/>
    <w:rsid w:val="00C74C7D"/>
    <w:rsid w:val="00C7586A"/>
    <w:rsid w:val="00C75B3A"/>
    <w:rsid w:val="00C80885"/>
    <w:rsid w:val="00C822CF"/>
    <w:rsid w:val="00C8346F"/>
    <w:rsid w:val="00C84200"/>
    <w:rsid w:val="00C84ABB"/>
    <w:rsid w:val="00C84F37"/>
    <w:rsid w:val="00C91B8C"/>
    <w:rsid w:val="00C96711"/>
    <w:rsid w:val="00CA746F"/>
    <w:rsid w:val="00CB1186"/>
    <w:rsid w:val="00CB151D"/>
    <w:rsid w:val="00CB2054"/>
    <w:rsid w:val="00CB4DCC"/>
    <w:rsid w:val="00CB7EC9"/>
    <w:rsid w:val="00CB7EF1"/>
    <w:rsid w:val="00CC0F96"/>
    <w:rsid w:val="00CC3240"/>
    <w:rsid w:val="00CC46EF"/>
    <w:rsid w:val="00CC64D8"/>
    <w:rsid w:val="00CC6625"/>
    <w:rsid w:val="00CC78FA"/>
    <w:rsid w:val="00CC7D2E"/>
    <w:rsid w:val="00CD113D"/>
    <w:rsid w:val="00CD18C1"/>
    <w:rsid w:val="00CD19E7"/>
    <w:rsid w:val="00CD1BA7"/>
    <w:rsid w:val="00CD3260"/>
    <w:rsid w:val="00CD3CB6"/>
    <w:rsid w:val="00CD488C"/>
    <w:rsid w:val="00CD6BDC"/>
    <w:rsid w:val="00CE0B2F"/>
    <w:rsid w:val="00CE0E37"/>
    <w:rsid w:val="00CE437E"/>
    <w:rsid w:val="00CE46B7"/>
    <w:rsid w:val="00CE4FFA"/>
    <w:rsid w:val="00CE77A7"/>
    <w:rsid w:val="00CF0FDC"/>
    <w:rsid w:val="00CF6416"/>
    <w:rsid w:val="00CF76BD"/>
    <w:rsid w:val="00CF794D"/>
    <w:rsid w:val="00D00CCF"/>
    <w:rsid w:val="00D033CC"/>
    <w:rsid w:val="00D04613"/>
    <w:rsid w:val="00D06F53"/>
    <w:rsid w:val="00D100F4"/>
    <w:rsid w:val="00D11BAF"/>
    <w:rsid w:val="00D1351B"/>
    <w:rsid w:val="00D159D6"/>
    <w:rsid w:val="00D22D16"/>
    <w:rsid w:val="00D2343A"/>
    <w:rsid w:val="00D2548F"/>
    <w:rsid w:val="00D31FF8"/>
    <w:rsid w:val="00D32CD5"/>
    <w:rsid w:val="00D3519C"/>
    <w:rsid w:val="00D369D0"/>
    <w:rsid w:val="00D37306"/>
    <w:rsid w:val="00D4083D"/>
    <w:rsid w:val="00D43C23"/>
    <w:rsid w:val="00D51633"/>
    <w:rsid w:val="00D52B1E"/>
    <w:rsid w:val="00D55949"/>
    <w:rsid w:val="00D649C4"/>
    <w:rsid w:val="00D67203"/>
    <w:rsid w:val="00D67A96"/>
    <w:rsid w:val="00D71457"/>
    <w:rsid w:val="00D73D65"/>
    <w:rsid w:val="00D7464D"/>
    <w:rsid w:val="00D74C19"/>
    <w:rsid w:val="00D762CB"/>
    <w:rsid w:val="00D805F4"/>
    <w:rsid w:val="00D8363C"/>
    <w:rsid w:val="00D836C0"/>
    <w:rsid w:val="00D83CA4"/>
    <w:rsid w:val="00D85A9E"/>
    <w:rsid w:val="00D92922"/>
    <w:rsid w:val="00DB1814"/>
    <w:rsid w:val="00DC1CB0"/>
    <w:rsid w:val="00DC207B"/>
    <w:rsid w:val="00DC41F7"/>
    <w:rsid w:val="00DC5023"/>
    <w:rsid w:val="00DD0020"/>
    <w:rsid w:val="00DD6C8B"/>
    <w:rsid w:val="00DD7A8F"/>
    <w:rsid w:val="00DD7C97"/>
    <w:rsid w:val="00DE1442"/>
    <w:rsid w:val="00DE7DC4"/>
    <w:rsid w:val="00DF30D3"/>
    <w:rsid w:val="00DF79B8"/>
    <w:rsid w:val="00E03C67"/>
    <w:rsid w:val="00E05C2F"/>
    <w:rsid w:val="00E1254B"/>
    <w:rsid w:val="00E15FA5"/>
    <w:rsid w:val="00E16D11"/>
    <w:rsid w:val="00E16D18"/>
    <w:rsid w:val="00E17874"/>
    <w:rsid w:val="00E200A2"/>
    <w:rsid w:val="00E23F0F"/>
    <w:rsid w:val="00E258BC"/>
    <w:rsid w:val="00E261C6"/>
    <w:rsid w:val="00E26334"/>
    <w:rsid w:val="00E2679F"/>
    <w:rsid w:val="00E31C6C"/>
    <w:rsid w:val="00E339E9"/>
    <w:rsid w:val="00E348DB"/>
    <w:rsid w:val="00E3543E"/>
    <w:rsid w:val="00E443E2"/>
    <w:rsid w:val="00E4590A"/>
    <w:rsid w:val="00E45BDF"/>
    <w:rsid w:val="00E47E04"/>
    <w:rsid w:val="00E52C9B"/>
    <w:rsid w:val="00E54313"/>
    <w:rsid w:val="00E555B6"/>
    <w:rsid w:val="00E55C16"/>
    <w:rsid w:val="00E605BB"/>
    <w:rsid w:val="00E6210B"/>
    <w:rsid w:val="00E62155"/>
    <w:rsid w:val="00E634D8"/>
    <w:rsid w:val="00E663F9"/>
    <w:rsid w:val="00E66F76"/>
    <w:rsid w:val="00E67936"/>
    <w:rsid w:val="00E71D6A"/>
    <w:rsid w:val="00E72C6C"/>
    <w:rsid w:val="00E73C0F"/>
    <w:rsid w:val="00E74720"/>
    <w:rsid w:val="00E85215"/>
    <w:rsid w:val="00E911A2"/>
    <w:rsid w:val="00E91E6B"/>
    <w:rsid w:val="00E92DFF"/>
    <w:rsid w:val="00E94300"/>
    <w:rsid w:val="00EA2F53"/>
    <w:rsid w:val="00EA552C"/>
    <w:rsid w:val="00EA7182"/>
    <w:rsid w:val="00EB4164"/>
    <w:rsid w:val="00EB4A9B"/>
    <w:rsid w:val="00EB63D4"/>
    <w:rsid w:val="00EB7BE8"/>
    <w:rsid w:val="00EC2761"/>
    <w:rsid w:val="00EC2D8F"/>
    <w:rsid w:val="00EC3C82"/>
    <w:rsid w:val="00EC5407"/>
    <w:rsid w:val="00EC5FCF"/>
    <w:rsid w:val="00ED14C9"/>
    <w:rsid w:val="00ED2504"/>
    <w:rsid w:val="00ED3177"/>
    <w:rsid w:val="00ED4C88"/>
    <w:rsid w:val="00ED61D7"/>
    <w:rsid w:val="00ED66BD"/>
    <w:rsid w:val="00ED6A6F"/>
    <w:rsid w:val="00EE0527"/>
    <w:rsid w:val="00EE1B11"/>
    <w:rsid w:val="00EE29D6"/>
    <w:rsid w:val="00EE41A1"/>
    <w:rsid w:val="00EE70B3"/>
    <w:rsid w:val="00EF014D"/>
    <w:rsid w:val="00EF1947"/>
    <w:rsid w:val="00EF3C2A"/>
    <w:rsid w:val="00EF47AE"/>
    <w:rsid w:val="00EF6506"/>
    <w:rsid w:val="00EF7327"/>
    <w:rsid w:val="00F005BB"/>
    <w:rsid w:val="00F031DB"/>
    <w:rsid w:val="00F049F6"/>
    <w:rsid w:val="00F06A6D"/>
    <w:rsid w:val="00F14E9B"/>
    <w:rsid w:val="00F1587F"/>
    <w:rsid w:val="00F1588A"/>
    <w:rsid w:val="00F15ACC"/>
    <w:rsid w:val="00F24313"/>
    <w:rsid w:val="00F2597D"/>
    <w:rsid w:val="00F30D6F"/>
    <w:rsid w:val="00F3183A"/>
    <w:rsid w:val="00F35250"/>
    <w:rsid w:val="00F355AC"/>
    <w:rsid w:val="00F40350"/>
    <w:rsid w:val="00F40BCE"/>
    <w:rsid w:val="00F416A3"/>
    <w:rsid w:val="00F424CA"/>
    <w:rsid w:val="00F42509"/>
    <w:rsid w:val="00F42BEC"/>
    <w:rsid w:val="00F43627"/>
    <w:rsid w:val="00F43676"/>
    <w:rsid w:val="00F464EB"/>
    <w:rsid w:val="00F51FCF"/>
    <w:rsid w:val="00F52B5A"/>
    <w:rsid w:val="00F53261"/>
    <w:rsid w:val="00F546A4"/>
    <w:rsid w:val="00F55583"/>
    <w:rsid w:val="00F55F03"/>
    <w:rsid w:val="00F565E2"/>
    <w:rsid w:val="00F5710E"/>
    <w:rsid w:val="00F6292C"/>
    <w:rsid w:val="00F64139"/>
    <w:rsid w:val="00F6464B"/>
    <w:rsid w:val="00F647B9"/>
    <w:rsid w:val="00F66C80"/>
    <w:rsid w:val="00F70F01"/>
    <w:rsid w:val="00F734AB"/>
    <w:rsid w:val="00F753D7"/>
    <w:rsid w:val="00F75C3B"/>
    <w:rsid w:val="00F765C4"/>
    <w:rsid w:val="00F76C80"/>
    <w:rsid w:val="00F77AB6"/>
    <w:rsid w:val="00F77C66"/>
    <w:rsid w:val="00F77EA8"/>
    <w:rsid w:val="00F80179"/>
    <w:rsid w:val="00F80EAE"/>
    <w:rsid w:val="00F810D2"/>
    <w:rsid w:val="00F82AEB"/>
    <w:rsid w:val="00F87736"/>
    <w:rsid w:val="00F9191E"/>
    <w:rsid w:val="00F94C1E"/>
    <w:rsid w:val="00F97EAD"/>
    <w:rsid w:val="00FA257D"/>
    <w:rsid w:val="00FA6BE7"/>
    <w:rsid w:val="00FB0771"/>
    <w:rsid w:val="00FB1C06"/>
    <w:rsid w:val="00FB43D0"/>
    <w:rsid w:val="00FC0C35"/>
    <w:rsid w:val="00FC0ED3"/>
    <w:rsid w:val="00FC4E27"/>
    <w:rsid w:val="00FD1C18"/>
    <w:rsid w:val="00FD3401"/>
    <w:rsid w:val="00FD4373"/>
    <w:rsid w:val="00FD4B2B"/>
    <w:rsid w:val="00FD6559"/>
    <w:rsid w:val="00FD6F7C"/>
    <w:rsid w:val="00FD70F1"/>
    <w:rsid w:val="00FE1A20"/>
    <w:rsid w:val="00FE2999"/>
    <w:rsid w:val="00FE3C8E"/>
    <w:rsid w:val="00FE4198"/>
    <w:rsid w:val="00FE42D7"/>
    <w:rsid w:val="00FE4484"/>
    <w:rsid w:val="00FE4CB9"/>
    <w:rsid w:val="00FE75E8"/>
    <w:rsid w:val="00FF0359"/>
    <w:rsid w:val="00FF0E44"/>
    <w:rsid w:val="00FF2DF5"/>
    <w:rsid w:val="00FF6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968F"/>
  <w15:chartTrackingRefBased/>
  <w15:docId w15:val="{8C671BDB-6F17-42B6-AEA5-00161620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6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6DE"/>
  </w:style>
  <w:style w:type="paragraph" w:styleId="Footer">
    <w:name w:val="footer"/>
    <w:basedOn w:val="Normal"/>
    <w:link w:val="FooterChar"/>
    <w:uiPriority w:val="99"/>
    <w:unhideWhenUsed/>
    <w:rsid w:val="00C346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6DE"/>
  </w:style>
  <w:style w:type="paragraph" w:styleId="ListParagraph">
    <w:name w:val="List Paragraph"/>
    <w:basedOn w:val="Normal"/>
    <w:uiPriority w:val="34"/>
    <w:qFormat/>
    <w:rsid w:val="00EA7182"/>
    <w:pPr>
      <w:ind w:left="720"/>
      <w:contextualSpacing/>
    </w:pPr>
  </w:style>
  <w:style w:type="paragraph" w:styleId="BalloonText">
    <w:name w:val="Balloon Text"/>
    <w:basedOn w:val="Normal"/>
    <w:link w:val="BalloonTextChar"/>
    <w:uiPriority w:val="99"/>
    <w:semiHidden/>
    <w:unhideWhenUsed/>
    <w:rsid w:val="0071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5D9"/>
    <w:rPr>
      <w:rFonts w:ascii="Segoe UI" w:hAnsi="Segoe UI" w:cs="Segoe UI"/>
      <w:sz w:val="18"/>
      <w:szCs w:val="18"/>
    </w:rPr>
  </w:style>
  <w:style w:type="paragraph" w:styleId="FootnoteText">
    <w:name w:val="footnote text"/>
    <w:basedOn w:val="Normal"/>
    <w:link w:val="FootnoteTextChar"/>
    <w:uiPriority w:val="99"/>
    <w:semiHidden/>
    <w:unhideWhenUsed/>
    <w:rsid w:val="007105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5D9"/>
    <w:rPr>
      <w:sz w:val="20"/>
      <w:szCs w:val="20"/>
    </w:rPr>
  </w:style>
  <w:style w:type="character" w:styleId="Hyperlink">
    <w:name w:val="Hyperlink"/>
    <w:uiPriority w:val="99"/>
    <w:unhideWhenUsed/>
    <w:rsid w:val="007105D9"/>
    <w:rPr>
      <w:color w:val="0000FF"/>
      <w:u w:val="single"/>
    </w:rPr>
  </w:style>
  <w:style w:type="character" w:styleId="FootnoteReference">
    <w:name w:val="footnote reference"/>
    <w:aliases w:val="Footnotemark,FR,Footnotemark1,Footnotemark2,FR1,Footnotemark3,FR2,Footnotemark4,FR3,Footnotemark5,FR4,Footnotemark6,Footnotemark7,Footnotemark8,FR5,Footnotemark11,Footnotemark21,FR11,Footnotemark31,FR21,Footnotemark41,FR31,FR41,F,fr"/>
    <w:unhideWhenUsed/>
    <w:rsid w:val="007105D9"/>
    <w:rPr>
      <w:vertAlign w:val="superscript"/>
    </w:rPr>
  </w:style>
  <w:style w:type="paragraph" w:customStyle="1" w:styleId="Default">
    <w:name w:val="Default"/>
    <w:rsid w:val="003002D3"/>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BA124A"/>
    <w:rPr>
      <w:color w:val="605E5C"/>
      <w:shd w:val="clear" w:color="auto" w:fill="E1DFDD"/>
    </w:rPr>
  </w:style>
  <w:style w:type="character" w:styleId="Emphasis">
    <w:name w:val="Emphasis"/>
    <w:basedOn w:val="DefaultParagraphFont"/>
    <w:uiPriority w:val="20"/>
    <w:qFormat/>
    <w:rsid w:val="00E605BB"/>
    <w:rPr>
      <w:i/>
      <w:iCs/>
    </w:rPr>
  </w:style>
  <w:style w:type="character" w:styleId="CommentReference">
    <w:name w:val="annotation reference"/>
    <w:basedOn w:val="DefaultParagraphFont"/>
    <w:uiPriority w:val="99"/>
    <w:semiHidden/>
    <w:unhideWhenUsed/>
    <w:rsid w:val="001936E9"/>
    <w:rPr>
      <w:sz w:val="16"/>
      <w:szCs w:val="16"/>
    </w:rPr>
  </w:style>
  <w:style w:type="paragraph" w:styleId="CommentText">
    <w:name w:val="annotation text"/>
    <w:basedOn w:val="Normal"/>
    <w:link w:val="CommentTextChar"/>
    <w:uiPriority w:val="99"/>
    <w:semiHidden/>
    <w:unhideWhenUsed/>
    <w:rsid w:val="001936E9"/>
    <w:pPr>
      <w:spacing w:line="240" w:lineRule="auto"/>
    </w:pPr>
    <w:rPr>
      <w:sz w:val="20"/>
      <w:szCs w:val="20"/>
    </w:rPr>
  </w:style>
  <w:style w:type="character" w:customStyle="1" w:styleId="CommentTextChar">
    <w:name w:val="Comment Text Char"/>
    <w:basedOn w:val="DefaultParagraphFont"/>
    <w:link w:val="CommentText"/>
    <w:uiPriority w:val="99"/>
    <w:semiHidden/>
    <w:rsid w:val="001936E9"/>
    <w:rPr>
      <w:sz w:val="20"/>
      <w:szCs w:val="20"/>
    </w:rPr>
  </w:style>
  <w:style w:type="paragraph" w:styleId="CommentSubject">
    <w:name w:val="annotation subject"/>
    <w:basedOn w:val="CommentText"/>
    <w:next w:val="CommentText"/>
    <w:link w:val="CommentSubjectChar"/>
    <w:uiPriority w:val="99"/>
    <w:semiHidden/>
    <w:unhideWhenUsed/>
    <w:rsid w:val="001936E9"/>
    <w:rPr>
      <w:b/>
      <w:bCs/>
    </w:rPr>
  </w:style>
  <w:style w:type="character" w:customStyle="1" w:styleId="CommentSubjectChar">
    <w:name w:val="Comment Subject Char"/>
    <w:basedOn w:val="CommentTextChar"/>
    <w:link w:val="CommentSubject"/>
    <w:uiPriority w:val="99"/>
    <w:semiHidden/>
    <w:rsid w:val="001936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mhra-regulatory-flexibilities-resulting-from-coronavirus-covid-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136/bmj.m267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rological.org/t/preliminary-analysis-of-sars-cov-2-importation-establishment-of-uk-transmission-lineages/507" TargetMode="External"/><Relationship Id="rId5" Type="http://schemas.openxmlformats.org/officeDocument/2006/relationships/footnotes" Target="footnotes.xml"/><Relationship Id="rId10" Type="http://schemas.openxmlformats.org/officeDocument/2006/relationships/hyperlink" Target="https://www.covid19hg.org/" TargetMode="External"/><Relationship Id="rId4" Type="http://schemas.openxmlformats.org/officeDocument/2006/relationships/webSettings" Target="webSettings.xml"/><Relationship Id="rId9" Type="http://schemas.openxmlformats.org/officeDocument/2006/relationships/hyperlink" Target="https://doi.org/10.1038/s41586-020-2521-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2936</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tim higenbottam</dc:creator>
  <cp:keywords/>
  <dc:description/>
  <cp:lastModifiedBy>prof tim higenbottam</cp:lastModifiedBy>
  <cp:revision>14</cp:revision>
  <dcterms:created xsi:type="dcterms:W3CDTF">2020-07-31T11:49:00Z</dcterms:created>
  <dcterms:modified xsi:type="dcterms:W3CDTF">2020-07-31T12:02:00Z</dcterms:modified>
</cp:coreProperties>
</file>