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DF7F5"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71C78B84" w14:textId="77777777" w:rsidTr="00EA2EC5">
        <w:trPr>
          <w:cantSplit/>
          <w:trHeight w:val="3178"/>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775E4F96"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782028AC"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04C54001" w14:textId="77777777" w:rsidR="00F14F2E" w:rsidRDefault="00F14F2E" w:rsidP="00914F46">
            <w:pPr>
              <w:rPr>
                <w:rFonts w:cs="Arial"/>
                <w:sz w:val="24"/>
                <w:szCs w:val="24"/>
              </w:rPr>
            </w:pPr>
          </w:p>
          <w:p w14:paraId="1E352109"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w:t>
            </w:r>
            <w:r w:rsidR="009E6E3E">
              <w:rPr>
                <w:sz w:val="24"/>
                <w:szCs w:val="24"/>
              </w:rPr>
              <w:t xml:space="preserve"> below</w:t>
            </w:r>
            <w:r w:rsidR="00F14F2E">
              <w:rPr>
                <w:sz w:val="24"/>
                <w:szCs w:val="24"/>
              </w:rPr>
              <w:t xml:space="preserve"> question:</w:t>
            </w:r>
          </w:p>
          <w:p w14:paraId="7741125C"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166A4730" w14:textId="77777777" w:rsidR="00F14F2E" w:rsidRDefault="00F14F2E" w:rsidP="00914F46">
            <w:pPr>
              <w:rPr>
                <w:sz w:val="24"/>
                <w:szCs w:val="24"/>
              </w:rPr>
            </w:pPr>
          </w:p>
          <w:p w14:paraId="0639C858" w14:textId="77777777" w:rsidR="00F510F0" w:rsidRPr="00861041" w:rsidRDefault="00DC20B5"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3E4934E7" w14:textId="77777777" w:rsidTr="005D20FC">
        <w:trPr>
          <w:cantSplit/>
          <w:trHeight w:val="1245"/>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F4045F6"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2FC89D59" w14:textId="02BFC05C" w:rsidR="00A812B3" w:rsidRPr="00376A05" w:rsidRDefault="00732EE3" w:rsidP="00215BC8">
            <w:pPr>
              <w:spacing w:before="240"/>
              <w:rPr>
                <w:rFonts w:cs="Arial"/>
                <w:szCs w:val="22"/>
              </w:rPr>
            </w:pPr>
            <w:r>
              <w:rPr>
                <w:rFonts w:cs="Arial"/>
                <w:b/>
                <w:szCs w:val="22"/>
              </w:rPr>
              <w:t>Faculty of Pharmaceutical Medicine of the Royal Colleges of Physicians of the UK</w:t>
            </w:r>
          </w:p>
        </w:tc>
      </w:tr>
      <w:tr w:rsidR="009119E3" w14:paraId="51CCBB96" w14:textId="77777777" w:rsidTr="005D20FC">
        <w:trPr>
          <w:cantSplit/>
          <w:trHeight w:val="1359"/>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97F4608" w14:textId="77777777" w:rsidR="00751EC5" w:rsidRDefault="00751EC5" w:rsidP="00215BC8">
            <w:pPr>
              <w:pStyle w:val="BodyText"/>
              <w:rPr>
                <w:rFonts w:cs="Arial"/>
                <w:szCs w:val="22"/>
              </w:rPr>
            </w:pPr>
            <w:r>
              <w:rPr>
                <w:rFonts w:cs="Arial"/>
                <w:szCs w:val="22"/>
              </w:rPr>
              <w:t>Disclosure</w:t>
            </w:r>
          </w:p>
          <w:p w14:paraId="42AE58A7"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358BDDE7" w14:textId="49B311AD" w:rsidR="009119E3" w:rsidRPr="009274DC" w:rsidRDefault="00732EE3" w:rsidP="00376A05">
            <w:pPr>
              <w:spacing w:before="240"/>
              <w:rPr>
                <w:rFonts w:cs="Arial"/>
                <w:b/>
                <w:szCs w:val="22"/>
                <w:highlight w:val="lightGray"/>
                <w:u w:val="single"/>
              </w:rPr>
            </w:pPr>
            <w:r>
              <w:rPr>
                <w:rFonts w:cs="Arial"/>
                <w:b/>
                <w:szCs w:val="22"/>
                <w:highlight w:val="lightGray"/>
              </w:rPr>
              <w:t xml:space="preserve">None </w:t>
            </w:r>
          </w:p>
        </w:tc>
      </w:tr>
      <w:tr w:rsidR="00A812B3" w14:paraId="29F1AE9F"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6454D13"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1BAA94BE" w14:textId="77777777" w:rsidR="00A812B3" w:rsidRPr="00810A2E" w:rsidRDefault="00A812B3" w:rsidP="00215BC8">
            <w:pPr>
              <w:rPr>
                <w:rFonts w:cs="Arial"/>
                <w:szCs w:val="22"/>
              </w:rPr>
            </w:pPr>
          </w:p>
          <w:p w14:paraId="7A18F165" w14:textId="76CF3D42" w:rsidR="00A812B3" w:rsidRPr="00810A2E" w:rsidRDefault="00732EE3" w:rsidP="00376A05">
            <w:pPr>
              <w:rPr>
                <w:rFonts w:cs="Arial"/>
                <w:szCs w:val="22"/>
              </w:rPr>
            </w:pPr>
            <w:r>
              <w:rPr>
                <w:rFonts w:cs="Arial"/>
                <w:b/>
                <w:szCs w:val="22"/>
              </w:rPr>
              <w:t>Ben Cottam</w:t>
            </w:r>
          </w:p>
        </w:tc>
      </w:tr>
      <w:tr w:rsidR="0020118C" w14:paraId="19745ECA"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7C4D836"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15A77047" w14:textId="77777777" w:rsidR="0020118C" w:rsidRDefault="00376A05" w:rsidP="00215BC8">
            <w:pPr>
              <w:rPr>
                <w:rFonts w:cs="Arial"/>
                <w:szCs w:val="22"/>
              </w:rPr>
            </w:pPr>
            <w:r>
              <w:rPr>
                <w:rFonts w:cs="Arial"/>
                <w:szCs w:val="22"/>
              </w:rPr>
              <w:t>[for office use only]</w:t>
            </w:r>
          </w:p>
          <w:p w14:paraId="538B1368" w14:textId="77777777" w:rsidR="0022485E" w:rsidRPr="00810A2E" w:rsidRDefault="0022485E" w:rsidP="00215BC8">
            <w:pPr>
              <w:rPr>
                <w:rFonts w:cs="Arial"/>
                <w:szCs w:val="22"/>
              </w:rPr>
            </w:pPr>
          </w:p>
        </w:tc>
      </w:tr>
      <w:tr w:rsidR="00A812B3" w14:paraId="612AF8DE" w14:textId="77777777" w:rsidTr="00410DF6">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20653557" w14:textId="77777777" w:rsidR="00A812B3" w:rsidRDefault="00A812B3" w:rsidP="0044012A">
            <w:pPr>
              <w:jc w:val="center"/>
              <w:rPr>
                <w:b/>
                <w:bCs/>
              </w:rPr>
            </w:pPr>
          </w:p>
          <w:p w14:paraId="65BC08CB" w14:textId="77777777" w:rsidR="00A812B3" w:rsidRDefault="00A812B3" w:rsidP="0044012A">
            <w:pPr>
              <w:jc w:val="center"/>
              <w:rPr>
                <w:b/>
                <w:bCs/>
              </w:rPr>
            </w:pPr>
          </w:p>
          <w:p w14:paraId="79AA4ACE" w14:textId="77777777" w:rsidR="00A812B3" w:rsidRDefault="00A812B3" w:rsidP="0044012A">
            <w:pPr>
              <w:jc w:val="center"/>
              <w:rPr>
                <w:b/>
                <w:bCs/>
              </w:rPr>
            </w:pPr>
            <w:r>
              <w:rPr>
                <w:b/>
                <w:bCs/>
              </w:rPr>
              <w:t>Comment</w:t>
            </w:r>
          </w:p>
          <w:p w14:paraId="1504B2BB"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70496701" w14:textId="77777777" w:rsidR="00A812B3" w:rsidRDefault="00A812B3">
            <w:pPr>
              <w:jc w:val="center"/>
              <w:rPr>
                <w:b/>
                <w:bCs/>
              </w:rPr>
            </w:pPr>
          </w:p>
          <w:p w14:paraId="4B017E9C" w14:textId="77777777" w:rsidR="00A812B3" w:rsidRDefault="00A812B3">
            <w:pPr>
              <w:pStyle w:val="BodyText"/>
              <w:jc w:val="center"/>
            </w:pPr>
          </w:p>
          <w:p w14:paraId="1362FA38" w14:textId="77777777" w:rsidR="00A812B3" w:rsidRDefault="00A812B3">
            <w:pPr>
              <w:pStyle w:val="BodyText"/>
              <w:jc w:val="center"/>
            </w:pPr>
            <w:r>
              <w:t xml:space="preserve">Page </w:t>
            </w:r>
          </w:p>
          <w:p w14:paraId="5725FE20" w14:textId="77777777" w:rsidR="00A812B3" w:rsidRDefault="00A812B3">
            <w:pPr>
              <w:pStyle w:val="BodyText"/>
              <w:jc w:val="center"/>
            </w:pPr>
            <w:r>
              <w:t>number</w:t>
            </w:r>
          </w:p>
          <w:p w14:paraId="6792EBE9" w14:textId="77777777" w:rsidR="00A812B3" w:rsidRDefault="00A812B3">
            <w:pPr>
              <w:jc w:val="center"/>
              <w:rPr>
                <w:b/>
                <w:bCs/>
              </w:rPr>
            </w:pPr>
          </w:p>
          <w:p w14:paraId="0A714521"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3675C3A7" w14:textId="77777777" w:rsidR="00A812B3" w:rsidRDefault="00A812B3">
            <w:pPr>
              <w:pStyle w:val="Heading1"/>
              <w:jc w:val="center"/>
            </w:pPr>
          </w:p>
          <w:p w14:paraId="5EDFAE24" w14:textId="77777777" w:rsidR="00A812B3" w:rsidRDefault="00A812B3" w:rsidP="00A812B3"/>
          <w:p w14:paraId="46287810" w14:textId="77777777" w:rsidR="00A812B3" w:rsidRDefault="002F0372" w:rsidP="00A812B3">
            <w:pPr>
              <w:jc w:val="center"/>
              <w:rPr>
                <w:b/>
              </w:rPr>
            </w:pPr>
            <w:r>
              <w:rPr>
                <w:b/>
              </w:rPr>
              <w:t>Line</w:t>
            </w:r>
          </w:p>
          <w:p w14:paraId="1992E79D" w14:textId="77777777" w:rsidR="00A812B3" w:rsidRDefault="00A812B3" w:rsidP="00A812B3">
            <w:pPr>
              <w:jc w:val="center"/>
              <w:rPr>
                <w:b/>
              </w:rPr>
            </w:pPr>
            <w:r w:rsidRPr="00A812B3">
              <w:rPr>
                <w:b/>
              </w:rPr>
              <w:t>number</w:t>
            </w:r>
          </w:p>
          <w:p w14:paraId="33CC37CB" w14:textId="77777777" w:rsidR="00A812B3" w:rsidRDefault="00A812B3" w:rsidP="00A812B3">
            <w:pPr>
              <w:jc w:val="center"/>
              <w:rPr>
                <w:b/>
              </w:rPr>
            </w:pPr>
          </w:p>
          <w:p w14:paraId="3C8544B5"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5FA9A50D" w14:textId="77777777" w:rsidR="00A812B3" w:rsidRDefault="00A812B3">
            <w:pPr>
              <w:pStyle w:val="Heading1"/>
              <w:jc w:val="center"/>
            </w:pPr>
          </w:p>
          <w:p w14:paraId="0A2DC0A3" w14:textId="77777777" w:rsidR="00A812B3" w:rsidRDefault="00A812B3">
            <w:pPr>
              <w:pStyle w:val="Heading1"/>
              <w:jc w:val="center"/>
              <w:rPr>
                <w:sz w:val="24"/>
              </w:rPr>
            </w:pPr>
            <w:r>
              <w:rPr>
                <w:sz w:val="24"/>
              </w:rPr>
              <w:t>Comments</w:t>
            </w:r>
          </w:p>
          <w:p w14:paraId="1843E9AF" w14:textId="77777777" w:rsidR="00A812B3" w:rsidRDefault="00A812B3">
            <w:pPr>
              <w:rPr>
                <w:sz w:val="24"/>
              </w:rPr>
            </w:pPr>
          </w:p>
          <w:p w14:paraId="0068A875" w14:textId="77777777" w:rsidR="00A812B3" w:rsidRDefault="00C97473">
            <w:pPr>
              <w:jc w:val="center"/>
              <w:rPr>
                <w:sz w:val="24"/>
              </w:rPr>
            </w:pPr>
            <w:r>
              <w:rPr>
                <w:sz w:val="24"/>
              </w:rPr>
              <w:t>I</w:t>
            </w:r>
            <w:r w:rsidR="00A812B3">
              <w:rPr>
                <w:sz w:val="24"/>
              </w:rPr>
              <w:t>nsert each comment in a new row.</w:t>
            </w:r>
          </w:p>
          <w:p w14:paraId="4A1347BA" w14:textId="77777777" w:rsidR="00A812B3" w:rsidRDefault="00A812B3">
            <w:pPr>
              <w:jc w:val="center"/>
              <w:rPr>
                <w:sz w:val="24"/>
              </w:rPr>
            </w:pPr>
          </w:p>
          <w:p w14:paraId="60B37F64"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05C12A31" w14:textId="77777777" w:rsidTr="00410DF6">
        <w:trPr>
          <w:cantSplit/>
          <w:trHeight w:val="330"/>
        </w:trPr>
        <w:tc>
          <w:tcPr>
            <w:tcW w:w="1804" w:type="dxa"/>
            <w:tcBorders>
              <w:top w:val="single" w:sz="4" w:space="0" w:color="auto"/>
            </w:tcBorders>
          </w:tcPr>
          <w:p w14:paraId="489A38CF"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5F824712" w14:textId="77777777" w:rsidR="00A812B3" w:rsidRPr="00CA197E" w:rsidRDefault="00F738C0" w:rsidP="00F738C0">
            <w:pPr>
              <w:rPr>
                <w:color w:val="FF0000"/>
                <w:sz w:val="20"/>
              </w:rPr>
            </w:pPr>
            <w:r>
              <w:rPr>
                <w:color w:val="FF0000"/>
                <w:sz w:val="20"/>
              </w:rPr>
              <w:t>00</w:t>
            </w:r>
            <w:r w:rsidR="006F43E2">
              <w:rPr>
                <w:color w:val="FF0000"/>
                <w:sz w:val="20"/>
              </w:rPr>
              <w:t>3</w:t>
            </w:r>
          </w:p>
        </w:tc>
        <w:tc>
          <w:tcPr>
            <w:tcW w:w="1804" w:type="dxa"/>
            <w:tcBorders>
              <w:top w:val="single" w:sz="4" w:space="0" w:color="auto"/>
            </w:tcBorders>
          </w:tcPr>
          <w:p w14:paraId="23ED70A2" w14:textId="77777777" w:rsidR="00A812B3" w:rsidRPr="00992358" w:rsidRDefault="00F738C0">
            <w:pPr>
              <w:rPr>
                <w:color w:val="FF0000"/>
                <w:sz w:val="20"/>
              </w:rPr>
            </w:pPr>
            <w:r>
              <w:rPr>
                <w:color w:val="FF0000"/>
                <w:sz w:val="20"/>
              </w:rPr>
              <w:t>0</w:t>
            </w:r>
            <w:r w:rsidR="000D4EA3">
              <w:rPr>
                <w:color w:val="FF0000"/>
                <w:sz w:val="20"/>
              </w:rPr>
              <w:t>55</w:t>
            </w:r>
          </w:p>
        </w:tc>
        <w:tc>
          <w:tcPr>
            <w:tcW w:w="8770" w:type="dxa"/>
            <w:tcBorders>
              <w:top w:val="single" w:sz="4" w:space="0" w:color="auto"/>
            </w:tcBorders>
          </w:tcPr>
          <w:p w14:paraId="6706AA53"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619C2F3D" w14:textId="77777777" w:rsidTr="00291821">
        <w:trPr>
          <w:cantSplit/>
          <w:trHeight w:val="228"/>
        </w:trPr>
        <w:tc>
          <w:tcPr>
            <w:tcW w:w="14183" w:type="dxa"/>
            <w:gridSpan w:val="4"/>
            <w:tcBorders>
              <w:top w:val="single" w:sz="4" w:space="0" w:color="auto"/>
            </w:tcBorders>
          </w:tcPr>
          <w:p w14:paraId="5E7C4CD3" w14:textId="77777777" w:rsidR="00A812B3" w:rsidRPr="00A31B42" w:rsidRDefault="00A812B3">
            <w:pPr>
              <w:rPr>
                <w:b/>
                <w:sz w:val="20"/>
              </w:rPr>
            </w:pPr>
          </w:p>
        </w:tc>
      </w:tr>
      <w:tr w:rsidR="00A812B3" w:rsidRPr="00E2582E" w14:paraId="3C26C341" w14:textId="77777777" w:rsidTr="00410DF6">
        <w:trPr>
          <w:cantSplit/>
          <w:trHeight w:val="228"/>
        </w:trPr>
        <w:tc>
          <w:tcPr>
            <w:tcW w:w="1804" w:type="dxa"/>
            <w:tcBorders>
              <w:top w:val="single" w:sz="4" w:space="0" w:color="auto"/>
            </w:tcBorders>
          </w:tcPr>
          <w:p w14:paraId="3FCD2947"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3CB554C5" w14:textId="77618DE3" w:rsidR="00A812B3" w:rsidRPr="005A45BD" w:rsidRDefault="00E361BE" w:rsidP="00274768">
            <w:pPr>
              <w:rPr>
                <w:rFonts w:cs="Arial"/>
                <w:sz w:val="20"/>
              </w:rPr>
            </w:pPr>
            <w:r>
              <w:rPr>
                <w:rFonts w:cs="Arial"/>
                <w:sz w:val="20"/>
              </w:rPr>
              <w:t>001</w:t>
            </w:r>
          </w:p>
        </w:tc>
        <w:tc>
          <w:tcPr>
            <w:tcW w:w="1804" w:type="dxa"/>
            <w:tcBorders>
              <w:top w:val="single" w:sz="4" w:space="0" w:color="auto"/>
            </w:tcBorders>
          </w:tcPr>
          <w:p w14:paraId="1381EA74" w14:textId="15FCF5F1" w:rsidR="00A812B3" w:rsidRPr="005A45BD" w:rsidRDefault="00E361BE" w:rsidP="00274768">
            <w:pPr>
              <w:rPr>
                <w:rFonts w:cs="Arial"/>
                <w:sz w:val="20"/>
              </w:rPr>
            </w:pPr>
            <w:r>
              <w:rPr>
                <w:rFonts w:cs="Arial"/>
                <w:sz w:val="20"/>
              </w:rPr>
              <w:t>20 onward</w:t>
            </w:r>
          </w:p>
        </w:tc>
        <w:tc>
          <w:tcPr>
            <w:tcW w:w="8770" w:type="dxa"/>
            <w:tcBorders>
              <w:top w:val="single" w:sz="4" w:space="0" w:color="auto"/>
            </w:tcBorders>
          </w:tcPr>
          <w:p w14:paraId="7A0C124B" w14:textId="6E1094D9" w:rsidR="00A812B3" w:rsidRPr="005A45BD" w:rsidRDefault="00E361BE" w:rsidP="00274768">
            <w:pPr>
              <w:rPr>
                <w:rFonts w:cs="Arial"/>
                <w:sz w:val="20"/>
              </w:rPr>
            </w:pPr>
            <w:r>
              <w:rPr>
                <w:rFonts w:cs="Arial"/>
                <w:sz w:val="20"/>
              </w:rPr>
              <w:t>The draft scope and definition of menopause – should include peri-menopause</w:t>
            </w:r>
            <w:r w:rsidR="009E1ECE">
              <w:rPr>
                <w:rFonts w:cs="Arial"/>
                <w:sz w:val="20"/>
              </w:rPr>
              <w:t xml:space="preserve"> and post</w:t>
            </w:r>
            <w:r w:rsidR="00732EE3">
              <w:rPr>
                <w:rFonts w:cs="Arial"/>
                <w:sz w:val="20"/>
              </w:rPr>
              <w:t>-</w:t>
            </w:r>
            <w:r w:rsidR="009E1ECE">
              <w:rPr>
                <w:rFonts w:cs="Arial"/>
                <w:sz w:val="20"/>
              </w:rPr>
              <w:t>menopause</w:t>
            </w:r>
            <w:r w:rsidR="00732EE3">
              <w:rPr>
                <w:rFonts w:cs="Arial"/>
                <w:sz w:val="20"/>
              </w:rPr>
              <w:t>,</w:t>
            </w:r>
            <w:r w:rsidR="009E1ECE">
              <w:rPr>
                <w:rFonts w:cs="Arial"/>
                <w:sz w:val="20"/>
              </w:rPr>
              <w:t xml:space="preserve"> as </w:t>
            </w:r>
            <w:r w:rsidR="00A75849">
              <w:rPr>
                <w:rFonts w:cs="Arial"/>
                <w:sz w:val="20"/>
              </w:rPr>
              <w:t xml:space="preserve">some </w:t>
            </w:r>
            <w:r w:rsidR="009E1ECE">
              <w:rPr>
                <w:rFonts w:cs="Arial"/>
                <w:sz w:val="20"/>
              </w:rPr>
              <w:t>symptoms often do not reverse without treatment.</w:t>
            </w:r>
            <w:r w:rsidR="00A166D3">
              <w:rPr>
                <w:rFonts w:cs="Arial"/>
                <w:sz w:val="20"/>
              </w:rPr>
              <w:t xml:space="preserve"> This should be ref</w:t>
            </w:r>
            <w:r w:rsidR="00732EE3">
              <w:rPr>
                <w:rFonts w:cs="Arial"/>
                <w:sz w:val="20"/>
              </w:rPr>
              <w:t>l</w:t>
            </w:r>
            <w:r w:rsidR="00A166D3">
              <w:rPr>
                <w:rFonts w:cs="Arial"/>
                <w:sz w:val="20"/>
              </w:rPr>
              <w:t>ected by updated section 1.2 of the guidance and may include the STRAW classification system recognising the changes in symptoms from peri- menopause to post-</w:t>
            </w:r>
            <w:r w:rsidR="006E6036">
              <w:rPr>
                <w:rFonts w:cs="Arial"/>
                <w:sz w:val="20"/>
              </w:rPr>
              <w:t>.</w:t>
            </w:r>
          </w:p>
        </w:tc>
      </w:tr>
      <w:tr w:rsidR="00A812B3" w:rsidRPr="00E2582E" w14:paraId="7B274313" w14:textId="77777777" w:rsidTr="00410DF6">
        <w:trPr>
          <w:cantSplit/>
          <w:trHeight w:val="228"/>
        </w:trPr>
        <w:tc>
          <w:tcPr>
            <w:tcW w:w="1804" w:type="dxa"/>
            <w:tcBorders>
              <w:top w:val="single" w:sz="4" w:space="0" w:color="auto"/>
            </w:tcBorders>
          </w:tcPr>
          <w:p w14:paraId="361D5FC4"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1FEFC32A" w14:textId="650F6D2E" w:rsidR="00A812B3" w:rsidRPr="005A45BD" w:rsidRDefault="00E361BE" w:rsidP="00274768">
            <w:pPr>
              <w:rPr>
                <w:rFonts w:cs="Arial"/>
                <w:sz w:val="20"/>
              </w:rPr>
            </w:pPr>
            <w:r>
              <w:rPr>
                <w:rFonts w:cs="Arial"/>
                <w:sz w:val="20"/>
              </w:rPr>
              <w:t>002</w:t>
            </w:r>
          </w:p>
        </w:tc>
        <w:tc>
          <w:tcPr>
            <w:tcW w:w="1804" w:type="dxa"/>
            <w:tcBorders>
              <w:top w:val="single" w:sz="4" w:space="0" w:color="auto"/>
            </w:tcBorders>
          </w:tcPr>
          <w:p w14:paraId="4C1ED762" w14:textId="27950769" w:rsidR="00A812B3" w:rsidRPr="005A45BD" w:rsidRDefault="00E361BE" w:rsidP="00274768">
            <w:pPr>
              <w:rPr>
                <w:rFonts w:cs="Arial"/>
                <w:sz w:val="20"/>
              </w:rPr>
            </w:pPr>
            <w:r>
              <w:rPr>
                <w:rFonts w:cs="Arial"/>
                <w:sz w:val="20"/>
              </w:rPr>
              <w:t>Para 5 onward</w:t>
            </w:r>
          </w:p>
        </w:tc>
        <w:tc>
          <w:tcPr>
            <w:tcW w:w="8770" w:type="dxa"/>
            <w:tcBorders>
              <w:top w:val="single" w:sz="4" w:space="0" w:color="auto"/>
            </w:tcBorders>
          </w:tcPr>
          <w:p w14:paraId="56399C1F" w14:textId="0D30E0AA" w:rsidR="00A812B3" w:rsidRPr="005A45BD" w:rsidRDefault="00E361BE" w:rsidP="00274768">
            <w:pPr>
              <w:rPr>
                <w:rFonts w:cs="Arial"/>
                <w:sz w:val="20"/>
              </w:rPr>
            </w:pPr>
            <w:r>
              <w:rPr>
                <w:rFonts w:cs="Arial"/>
                <w:sz w:val="20"/>
              </w:rPr>
              <w:t xml:space="preserve">There is no mention of who may or may not need </w:t>
            </w:r>
            <w:r w:rsidR="00A166D3">
              <w:rPr>
                <w:rFonts w:cs="Arial"/>
                <w:sz w:val="20"/>
              </w:rPr>
              <w:t xml:space="preserve">what kind of </w:t>
            </w:r>
            <w:r>
              <w:rPr>
                <w:rFonts w:cs="Arial"/>
                <w:sz w:val="20"/>
              </w:rPr>
              <w:t>treatment</w:t>
            </w:r>
            <w:r w:rsidR="00A166D3">
              <w:rPr>
                <w:rFonts w:cs="Arial"/>
                <w:sz w:val="20"/>
              </w:rPr>
              <w:t>s</w:t>
            </w:r>
            <w:r>
              <w:rPr>
                <w:rFonts w:cs="Arial"/>
                <w:sz w:val="20"/>
              </w:rPr>
              <w:t xml:space="preserve"> – </w:t>
            </w:r>
            <w:r w:rsidR="006E6036">
              <w:rPr>
                <w:rFonts w:cs="Arial"/>
                <w:sz w:val="20"/>
              </w:rPr>
              <w:t xml:space="preserve">explanation of </w:t>
            </w:r>
            <w:r>
              <w:rPr>
                <w:rFonts w:cs="Arial"/>
                <w:sz w:val="20"/>
              </w:rPr>
              <w:t xml:space="preserve">range of symptoms would </w:t>
            </w:r>
            <w:r w:rsidR="00A166D3">
              <w:rPr>
                <w:rFonts w:cs="Arial"/>
                <w:sz w:val="20"/>
              </w:rPr>
              <w:t>be useful and more detailed description of all symptoms.</w:t>
            </w:r>
          </w:p>
        </w:tc>
      </w:tr>
      <w:tr w:rsidR="00A812B3" w:rsidRPr="00E2582E" w14:paraId="1063F649" w14:textId="77777777" w:rsidTr="00410DF6">
        <w:trPr>
          <w:cantSplit/>
          <w:trHeight w:val="228"/>
        </w:trPr>
        <w:tc>
          <w:tcPr>
            <w:tcW w:w="1804" w:type="dxa"/>
            <w:tcBorders>
              <w:top w:val="single" w:sz="4" w:space="0" w:color="auto"/>
            </w:tcBorders>
          </w:tcPr>
          <w:p w14:paraId="2C452CBC"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74D1F372" w14:textId="5EC806CF" w:rsidR="00A812B3" w:rsidRPr="005A45BD" w:rsidRDefault="00E361BE" w:rsidP="00274768">
            <w:pPr>
              <w:rPr>
                <w:rFonts w:cs="Arial"/>
                <w:sz w:val="20"/>
              </w:rPr>
            </w:pPr>
            <w:r>
              <w:rPr>
                <w:rFonts w:cs="Arial"/>
                <w:sz w:val="20"/>
              </w:rPr>
              <w:t>002</w:t>
            </w:r>
          </w:p>
        </w:tc>
        <w:tc>
          <w:tcPr>
            <w:tcW w:w="1804" w:type="dxa"/>
            <w:tcBorders>
              <w:top w:val="single" w:sz="4" w:space="0" w:color="auto"/>
            </w:tcBorders>
          </w:tcPr>
          <w:p w14:paraId="357563BC" w14:textId="17FE2481" w:rsidR="00A812B3" w:rsidRPr="005A45BD" w:rsidRDefault="00BD67B0" w:rsidP="00274768">
            <w:pPr>
              <w:rPr>
                <w:rFonts w:cs="Arial"/>
                <w:sz w:val="20"/>
              </w:rPr>
            </w:pPr>
            <w:r>
              <w:rPr>
                <w:rFonts w:cs="Arial"/>
                <w:sz w:val="20"/>
              </w:rPr>
              <w:t>Line 10</w:t>
            </w:r>
          </w:p>
        </w:tc>
        <w:tc>
          <w:tcPr>
            <w:tcW w:w="8770" w:type="dxa"/>
            <w:tcBorders>
              <w:top w:val="single" w:sz="4" w:space="0" w:color="auto"/>
            </w:tcBorders>
          </w:tcPr>
          <w:p w14:paraId="737FFEEE" w14:textId="23BF20FA" w:rsidR="00A812B3" w:rsidRPr="005A45BD" w:rsidRDefault="00974E13" w:rsidP="00274768">
            <w:pPr>
              <w:rPr>
                <w:rFonts w:cs="Arial"/>
                <w:sz w:val="20"/>
              </w:rPr>
            </w:pPr>
            <w:r>
              <w:rPr>
                <w:rFonts w:cs="Arial"/>
                <w:sz w:val="20"/>
              </w:rPr>
              <w:t xml:space="preserve">Benefits </w:t>
            </w:r>
            <w:r w:rsidR="004A4F08">
              <w:rPr>
                <w:rFonts w:cs="Arial"/>
                <w:sz w:val="20"/>
              </w:rPr>
              <w:t>including p</w:t>
            </w:r>
            <w:r w:rsidR="00BD67B0">
              <w:rPr>
                <w:rFonts w:cs="Arial"/>
                <w:sz w:val="20"/>
              </w:rPr>
              <w:t>revention o</w:t>
            </w:r>
            <w:r w:rsidR="009E1ECE">
              <w:rPr>
                <w:rFonts w:cs="Arial"/>
                <w:sz w:val="20"/>
              </w:rPr>
              <w:t xml:space="preserve">r treatment of </w:t>
            </w:r>
            <w:r w:rsidR="00BD67B0">
              <w:rPr>
                <w:rFonts w:cs="Arial"/>
                <w:sz w:val="20"/>
              </w:rPr>
              <w:t xml:space="preserve">osteoporosis </w:t>
            </w:r>
            <w:r w:rsidR="009E1ECE">
              <w:rPr>
                <w:rFonts w:cs="Arial"/>
                <w:sz w:val="20"/>
              </w:rPr>
              <w:t xml:space="preserve">and prevention of cardiovascular </w:t>
            </w:r>
            <w:r w:rsidR="006E6036">
              <w:rPr>
                <w:rFonts w:cs="Arial"/>
                <w:sz w:val="20"/>
              </w:rPr>
              <w:t xml:space="preserve">and other </w:t>
            </w:r>
            <w:r w:rsidR="009E1ECE">
              <w:rPr>
                <w:rFonts w:cs="Arial"/>
                <w:sz w:val="20"/>
              </w:rPr>
              <w:t xml:space="preserve">disease </w:t>
            </w:r>
            <w:r w:rsidR="009E1ECE" w:rsidRPr="00C11187">
              <w:rPr>
                <w:rFonts w:cs="Arial"/>
                <w:sz w:val="20"/>
              </w:rPr>
              <w:t xml:space="preserve">arguably should be </w:t>
            </w:r>
            <w:r w:rsidR="00640833">
              <w:rPr>
                <w:rFonts w:cs="Arial"/>
                <w:sz w:val="20"/>
              </w:rPr>
              <w:t xml:space="preserve">regulatory and </w:t>
            </w:r>
            <w:r w:rsidR="009E1ECE" w:rsidRPr="00C11187">
              <w:rPr>
                <w:rFonts w:cs="Arial"/>
                <w:sz w:val="20"/>
              </w:rPr>
              <w:t>outside of the scope of the document</w:t>
            </w:r>
            <w:r w:rsidR="002D51BE">
              <w:rPr>
                <w:rFonts w:cs="Arial"/>
                <w:sz w:val="20"/>
              </w:rPr>
              <w:t>.</w:t>
            </w:r>
            <w:r w:rsidR="009E1ECE" w:rsidRPr="00C11187">
              <w:rPr>
                <w:rFonts w:cs="Arial"/>
                <w:sz w:val="20"/>
              </w:rPr>
              <w:t xml:space="preserve"> </w:t>
            </w:r>
            <w:r w:rsidR="006E6036">
              <w:rPr>
                <w:rFonts w:cs="Arial"/>
                <w:sz w:val="20"/>
              </w:rPr>
              <w:t>The evidence needs to be reviewed for</w:t>
            </w:r>
            <w:r w:rsidR="00E17881">
              <w:rPr>
                <w:rFonts w:cs="Arial"/>
                <w:sz w:val="20"/>
              </w:rPr>
              <w:t xml:space="preserve"> each </w:t>
            </w:r>
            <w:r w:rsidR="006E6036">
              <w:rPr>
                <w:rFonts w:cs="Arial"/>
                <w:sz w:val="20"/>
              </w:rPr>
              <w:t xml:space="preserve">treatment  </w:t>
            </w:r>
            <w:r w:rsidR="00E17881">
              <w:rPr>
                <w:rFonts w:cs="Arial"/>
                <w:sz w:val="20"/>
              </w:rPr>
              <w:t xml:space="preserve">rather than </w:t>
            </w:r>
            <w:r w:rsidR="006E6036">
              <w:rPr>
                <w:rFonts w:cs="Arial"/>
                <w:sz w:val="20"/>
              </w:rPr>
              <w:t xml:space="preserve">overall assumption for all </w:t>
            </w:r>
            <w:r w:rsidR="00E17881">
              <w:rPr>
                <w:rFonts w:cs="Arial"/>
                <w:sz w:val="20"/>
              </w:rPr>
              <w:t xml:space="preserve">hormonal </w:t>
            </w:r>
            <w:r w:rsidR="006E6036">
              <w:rPr>
                <w:rFonts w:cs="Arial"/>
                <w:sz w:val="20"/>
              </w:rPr>
              <w:t xml:space="preserve">menopause interventions. </w:t>
            </w:r>
          </w:p>
        </w:tc>
      </w:tr>
      <w:tr w:rsidR="00A812B3" w:rsidRPr="00E2582E" w14:paraId="6F61E31B" w14:textId="77777777" w:rsidTr="00410DF6">
        <w:trPr>
          <w:cantSplit/>
          <w:trHeight w:val="228"/>
        </w:trPr>
        <w:tc>
          <w:tcPr>
            <w:tcW w:w="1804" w:type="dxa"/>
            <w:tcBorders>
              <w:top w:val="single" w:sz="4" w:space="0" w:color="auto"/>
            </w:tcBorders>
          </w:tcPr>
          <w:p w14:paraId="65EC11E1"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2C76C9E5" w14:textId="41F94FAD" w:rsidR="00A812B3" w:rsidRPr="00E2582E" w:rsidRDefault="00BA6D71">
            <w:pPr>
              <w:rPr>
                <w:sz w:val="20"/>
              </w:rPr>
            </w:pPr>
            <w:r>
              <w:rPr>
                <w:sz w:val="20"/>
              </w:rPr>
              <w:t>001</w:t>
            </w:r>
          </w:p>
        </w:tc>
        <w:tc>
          <w:tcPr>
            <w:tcW w:w="1804" w:type="dxa"/>
            <w:tcBorders>
              <w:top w:val="single" w:sz="4" w:space="0" w:color="auto"/>
            </w:tcBorders>
          </w:tcPr>
          <w:p w14:paraId="642C11E8" w14:textId="286A9D1D" w:rsidR="00A812B3" w:rsidRPr="00E2582E" w:rsidRDefault="00BA6D71">
            <w:pPr>
              <w:rPr>
                <w:sz w:val="20"/>
              </w:rPr>
            </w:pPr>
            <w:r>
              <w:rPr>
                <w:sz w:val="20"/>
              </w:rPr>
              <w:t>Line 13 onward</w:t>
            </w:r>
          </w:p>
        </w:tc>
        <w:tc>
          <w:tcPr>
            <w:tcW w:w="8770" w:type="dxa"/>
            <w:tcBorders>
              <w:top w:val="single" w:sz="4" w:space="0" w:color="auto"/>
            </w:tcBorders>
          </w:tcPr>
          <w:p w14:paraId="09B7E892" w14:textId="748B5435" w:rsidR="00A812B3" w:rsidRPr="00E2582E" w:rsidRDefault="00BA6D71">
            <w:pPr>
              <w:rPr>
                <w:sz w:val="20"/>
              </w:rPr>
            </w:pPr>
            <w:r>
              <w:rPr>
                <w:sz w:val="20"/>
              </w:rPr>
              <w:t xml:space="preserve">The guidance covers many aspects of menopause </w:t>
            </w:r>
            <w:r w:rsidR="00BD67B0">
              <w:rPr>
                <w:sz w:val="20"/>
              </w:rPr>
              <w:t xml:space="preserve">but does not </w:t>
            </w:r>
            <w:proofErr w:type="spellStart"/>
            <w:r w:rsidR="00BD67B0">
              <w:rPr>
                <w:sz w:val="20"/>
              </w:rPr>
              <w:t>cearly</w:t>
            </w:r>
            <w:proofErr w:type="spellEnd"/>
            <w:r w:rsidR="00BD67B0">
              <w:rPr>
                <w:sz w:val="20"/>
              </w:rPr>
              <w:t xml:space="preserve"> distinguish what is essentially troublesome and pathological</w:t>
            </w:r>
            <w:r w:rsidR="009E1ECE">
              <w:rPr>
                <w:sz w:val="20"/>
              </w:rPr>
              <w:t xml:space="preserve">. Loss of memory in aging is also a natural process – but extreme loss is pathological and arguably suicidal ideation </w:t>
            </w:r>
            <w:r w:rsidR="006E6036">
              <w:rPr>
                <w:sz w:val="20"/>
              </w:rPr>
              <w:t>(</w:t>
            </w:r>
            <w:r w:rsidR="00A166D3">
              <w:rPr>
                <w:sz w:val="20"/>
              </w:rPr>
              <w:t>mood changes</w:t>
            </w:r>
            <w:r w:rsidR="006E6036">
              <w:rPr>
                <w:sz w:val="20"/>
              </w:rPr>
              <w:t>)</w:t>
            </w:r>
            <w:r w:rsidR="00A166D3">
              <w:rPr>
                <w:sz w:val="20"/>
              </w:rPr>
              <w:t xml:space="preserve"> or 10 plus VMS episodes a day is also pathological and needs appropriate pharmacological treatment.</w:t>
            </w:r>
            <w:r w:rsidR="009E1ECE">
              <w:rPr>
                <w:sz w:val="20"/>
              </w:rPr>
              <w:t xml:space="preserve">  </w:t>
            </w:r>
          </w:p>
        </w:tc>
      </w:tr>
      <w:tr w:rsidR="00A812B3" w:rsidRPr="00E2582E" w14:paraId="285DAB62" w14:textId="77777777" w:rsidTr="00410DF6">
        <w:trPr>
          <w:cantSplit/>
          <w:trHeight w:val="228"/>
        </w:trPr>
        <w:tc>
          <w:tcPr>
            <w:tcW w:w="1804" w:type="dxa"/>
            <w:tcBorders>
              <w:top w:val="single" w:sz="4" w:space="0" w:color="auto"/>
            </w:tcBorders>
          </w:tcPr>
          <w:p w14:paraId="19527A3F"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0C288B0C" w14:textId="5A400456" w:rsidR="00A812B3" w:rsidRPr="00E2582E" w:rsidRDefault="00BD67B0">
            <w:pPr>
              <w:rPr>
                <w:sz w:val="20"/>
              </w:rPr>
            </w:pPr>
            <w:r>
              <w:rPr>
                <w:sz w:val="20"/>
              </w:rPr>
              <w:t>002</w:t>
            </w:r>
          </w:p>
        </w:tc>
        <w:tc>
          <w:tcPr>
            <w:tcW w:w="1804" w:type="dxa"/>
            <w:tcBorders>
              <w:top w:val="single" w:sz="4" w:space="0" w:color="auto"/>
            </w:tcBorders>
          </w:tcPr>
          <w:p w14:paraId="0A6AFBC4" w14:textId="192B73F5" w:rsidR="00A812B3" w:rsidRPr="00E2582E" w:rsidRDefault="006311B9">
            <w:pPr>
              <w:rPr>
                <w:sz w:val="20"/>
              </w:rPr>
            </w:pPr>
            <w:r>
              <w:rPr>
                <w:sz w:val="20"/>
              </w:rPr>
              <w:t>Line 12-14</w:t>
            </w:r>
          </w:p>
        </w:tc>
        <w:tc>
          <w:tcPr>
            <w:tcW w:w="8770" w:type="dxa"/>
            <w:tcBorders>
              <w:top w:val="single" w:sz="4" w:space="0" w:color="auto"/>
            </w:tcBorders>
          </w:tcPr>
          <w:p w14:paraId="45494EB7" w14:textId="7D441AC2" w:rsidR="00A812B3" w:rsidRPr="00E2582E" w:rsidRDefault="006311B9">
            <w:pPr>
              <w:rPr>
                <w:sz w:val="20"/>
              </w:rPr>
            </w:pPr>
            <w:r>
              <w:rPr>
                <w:sz w:val="20"/>
              </w:rPr>
              <w:t>Mild, moderate and severe definitions of VMS</w:t>
            </w:r>
            <w:r w:rsidR="00A166D3">
              <w:rPr>
                <w:sz w:val="20"/>
              </w:rPr>
              <w:t xml:space="preserve"> according to daily number of episodes and </w:t>
            </w:r>
            <w:r w:rsidR="004B69F4">
              <w:rPr>
                <w:sz w:val="20"/>
              </w:rPr>
              <w:t>Ge</w:t>
            </w:r>
            <w:r w:rsidR="006C7266">
              <w:rPr>
                <w:sz w:val="20"/>
              </w:rPr>
              <w:t xml:space="preserve">nitourinary </w:t>
            </w:r>
            <w:r w:rsidR="004B69F4">
              <w:rPr>
                <w:sz w:val="20"/>
              </w:rPr>
              <w:t>S</w:t>
            </w:r>
            <w:r w:rsidR="006C7266">
              <w:rPr>
                <w:sz w:val="20"/>
              </w:rPr>
              <w:t>yndrome of Menopause</w:t>
            </w:r>
            <w:r w:rsidR="00A166D3">
              <w:rPr>
                <w:sz w:val="20"/>
              </w:rPr>
              <w:t xml:space="preserve"> </w:t>
            </w:r>
            <w:r w:rsidR="006C7266">
              <w:rPr>
                <w:sz w:val="20"/>
              </w:rPr>
              <w:t xml:space="preserve">symptoms could be </w:t>
            </w:r>
            <w:r w:rsidR="00A166D3">
              <w:rPr>
                <w:sz w:val="20"/>
              </w:rPr>
              <w:t>categorised as mild</w:t>
            </w:r>
            <w:r w:rsidR="00C11187">
              <w:rPr>
                <w:sz w:val="20"/>
              </w:rPr>
              <w:t>,</w:t>
            </w:r>
            <w:r w:rsidR="00A166D3">
              <w:rPr>
                <w:sz w:val="20"/>
              </w:rPr>
              <w:t xml:space="preserve"> moderate and sever</w:t>
            </w:r>
            <w:r w:rsidR="006E6036">
              <w:rPr>
                <w:sz w:val="20"/>
              </w:rPr>
              <w:t>e</w:t>
            </w:r>
            <w:r w:rsidR="00C11187">
              <w:rPr>
                <w:sz w:val="20"/>
              </w:rPr>
              <w:t>,</w:t>
            </w:r>
            <w:r w:rsidR="00A166D3">
              <w:rPr>
                <w:sz w:val="20"/>
              </w:rPr>
              <w:t xml:space="preserve"> so treatments </w:t>
            </w:r>
            <w:r w:rsidR="007929C6">
              <w:rPr>
                <w:sz w:val="20"/>
              </w:rPr>
              <w:t xml:space="preserve">could </w:t>
            </w:r>
            <w:r w:rsidR="00A166D3">
              <w:rPr>
                <w:sz w:val="20"/>
              </w:rPr>
              <w:t xml:space="preserve">be </w:t>
            </w:r>
            <w:r w:rsidR="006C7266">
              <w:rPr>
                <w:sz w:val="20"/>
              </w:rPr>
              <w:t xml:space="preserve">guided </w:t>
            </w:r>
            <w:r w:rsidR="00A166D3">
              <w:rPr>
                <w:sz w:val="20"/>
              </w:rPr>
              <w:t>according</w:t>
            </w:r>
            <w:r w:rsidR="006E6036">
              <w:rPr>
                <w:sz w:val="20"/>
              </w:rPr>
              <w:t xml:space="preserve"> to the regulatory labe</w:t>
            </w:r>
            <w:r w:rsidR="00C11187">
              <w:rPr>
                <w:sz w:val="20"/>
              </w:rPr>
              <w:t>l,</w:t>
            </w:r>
            <w:r w:rsidR="006E6036">
              <w:rPr>
                <w:sz w:val="20"/>
              </w:rPr>
              <w:t xml:space="preserve"> some of which are classified by severity</w:t>
            </w:r>
            <w:r w:rsidR="007929C6">
              <w:rPr>
                <w:sz w:val="20"/>
              </w:rPr>
              <w:t>.</w:t>
            </w:r>
            <w:r w:rsidR="006E6036">
              <w:rPr>
                <w:sz w:val="20"/>
              </w:rPr>
              <w:t xml:space="preserve"> </w:t>
            </w:r>
          </w:p>
        </w:tc>
      </w:tr>
      <w:tr w:rsidR="00A812B3" w:rsidRPr="00E2582E" w14:paraId="64DB4CFB" w14:textId="77777777" w:rsidTr="00410DF6">
        <w:trPr>
          <w:cantSplit/>
          <w:trHeight w:val="228"/>
        </w:trPr>
        <w:tc>
          <w:tcPr>
            <w:tcW w:w="1804" w:type="dxa"/>
            <w:tcBorders>
              <w:top w:val="single" w:sz="4" w:space="0" w:color="auto"/>
            </w:tcBorders>
          </w:tcPr>
          <w:p w14:paraId="2C848D78"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7433F747" w14:textId="736A7A27" w:rsidR="00A812B3" w:rsidRPr="00E2582E" w:rsidRDefault="005836AD">
            <w:pPr>
              <w:rPr>
                <w:sz w:val="20"/>
              </w:rPr>
            </w:pPr>
            <w:r>
              <w:rPr>
                <w:sz w:val="20"/>
              </w:rPr>
              <w:t>004</w:t>
            </w:r>
          </w:p>
        </w:tc>
        <w:tc>
          <w:tcPr>
            <w:tcW w:w="1804" w:type="dxa"/>
            <w:tcBorders>
              <w:top w:val="single" w:sz="4" w:space="0" w:color="auto"/>
            </w:tcBorders>
          </w:tcPr>
          <w:p w14:paraId="08A251F6" w14:textId="622714A4" w:rsidR="00A812B3" w:rsidRPr="00E2582E" w:rsidRDefault="005836AD">
            <w:pPr>
              <w:rPr>
                <w:sz w:val="20"/>
              </w:rPr>
            </w:pPr>
            <w:r>
              <w:rPr>
                <w:sz w:val="20"/>
              </w:rPr>
              <w:t xml:space="preserve">Line </w:t>
            </w:r>
            <w:r w:rsidR="00A166D3">
              <w:rPr>
                <w:sz w:val="20"/>
              </w:rPr>
              <w:t>8-10</w:t>
            </w:r>
          </w:p>
        </w:tc>
        <w:tc>
          <w:tcPr>
            <w:tcW w:w="8770" w:type="dxa"/>
            <w:tcBorders>
              <w:top w:val="single" w:sz="4" w:space="0" w:color="auto"/>
            </w:tcBorders>
          </w:tcPr>
          <w:p w14:paraId="562F04E3" w14:textId="32A79683" w:rsidR="00A812B3" w:rsidRPr="00E2582E" w:rsidRDefault="00A166D3">
            <w:pPr>
              <w:rPr>
                <w:sz w:val="20"/>
              </w:rPr>
            </w:pPr>
            <w:r>
              <w:rPr>
                <w:sz w:val="20"/>
              </w:rPr>
              <w:t xml:space="preserve">We do not support the revisions being limited to CBT and HRT on overall health outcomes.  </w:t>
            </w:r>
          </w:p>
        </w:tc>
      </w:tr>
      <w:tr w:rsidR="005921C4" w:rsidRPr="005921C4" w14:paraId="188A70F5" w14:textId="77777777" w:rsidTr="00410DF6">
        <w:trPr>
          <w:cantSplit/>
          <w:trHeight w:val="228"/>
        </w:trPr>
        <w:tc>
          <w:tcPr>
            <w:tcW w:w="1804" w:type="dxa"/>
            <w:tcBorders>
              <w:top w:val="single" w:sz="4" w:space="0" w:color="auto"/>
            </w:tcBorders>
          </w:tcPr>
          <w:p w14:paraId="252DF982" w14:textId="640AE8B3" w:rsidR="005921C4" w:rsidRDefault="001338E7" w:rsidP="0044012A">
            <w:pPr>
              <w:jc w:val="center"/>
              <w:rPr>
                <w:sz w:val="20"/>
              </w:rPr>
            </w:pPr>
            <w:r>
              <w:rPr>
                <w:sz w:val="20"/>
              </w:rPr>
              <w:t>7</w:t>
            </w:r>
          </w:p>
        </w:tc>
        <w:tc>
          <w:tcPr>
            <w:tcW w:w="1805" w:type="dxa"/>
            <w:tcBorders>
              <w:top w:val="single" w:sz="4" w:space="0" w:color="auto"/>
            </w:tcBorders>
          </w:tcPr>
          <w:p w14:paraId="6FC9A4C0" w14:textId="232CC6FD" w:rsidR="005921C4" w:rsidRDefault="005921C4">
            <w:pPr>
              <w:rPr>
                <w:sz w:val="20"/>
              </w:rPr>
            </w:pPr>
            <w:r>
              <w:rPr>
                <w:sz w:val="20"/>
              </w:rPr>
              <w:t>005</w:t>
            </w:r>
          </w:p>
        </w:tc>
        <w:tc>
          <w:tcPr>
            <w:tcW w:w="1804" w:type="dxa"/>
            <w:tcBorders>
              <w:top w:val="single" w:sz="4" w:space="0" w:color="auto"/>
            </w:tcBorders>
          </w:tcPr>
          <w:p w14:paraId="25C24041" w14:textId="738D9747" w:rsidR="005921C4" w:rsidRDefault="005921C4">
            <w:pPr>
              <w:rPr>
                <w:sz w:val="20"/>
              </w:rPr>
            </w:pPr>
            <w:r>
              <w:rPr>
                <w:sz w:val="20"/>
              </w:rPr>
              <w:t>In the table</w:t>
            </w:r>
          </w:p>
        </w:tc>
        <w:tc>
          <w:tcPr>
            <w:tcW w:w="8770" w:type="dxa"/>
            <w:tcBorders>
              <w:top w:val="single" w:sz="4" w:space="0" w:color="auto"/>
            </w:tcBorders>
          </w:tcPr>
          <w:p w14:paraId="2827C3AC" w14:textId="6E9F724D" w:rsidR="005921C4" w:rsidRPr="005921C4" w:rsidRDefault="005921C4">
            <w:pPr>
              <w:rPr>
                <w:sz w:val="20"/>
              </w:rPr>
            </w:pPr>
            <w:r w:rsidRPr="005921C4">
              <w:rPr>
                <w:sz w:val="20"/>
              </w:rPr>
              <w:t>1.2 whilst peri</w:t>
            </w:r>
            <w:r w:rsidR="00922EF8">
              <w:rPr>
                <w:sz w:val="20"/>
              </w:rPr>
              <w:t>-</w:t>
            </w:r>
            <w:r w:rsidRPr="005921C4">
              <w:rPr>
                <w:sz w:val="20"/>
              </w:rPr>
              <w:t>menopause is define</w:t>
            </w:r>
            <w:r>
              <w:rPr>
                <w:sz w:val="20"/>
              </w:rPr>
              <w:t>d</w:t>
            </w:r>
            <w:r w:rsidR="00922EF8">
              <w:rPr>
                <w:sz w:val="20"/>
              </w:rPr>
              <w:t>,</w:t>
            </w:r>
            <w:r>
              <w:rPr>
                <w:sz w:val="20"/>
              </w:rPr>
              <w:t xml:space="preserve"> no symptoms are discussed</w:t>
            </w:r>
            <w:r w:rsidR="00922EF8">
              <w:rPr>
                <w:sz w:val="20"/>
              </w:rPr>
              <w:t>,</w:t>
            </w:r>
            <w:r>
              <w:rPr>
                <w:sz w:val="20"/>
              </w:rPr>
              <w:t xml:space="preserve"> which may be different from menopause itself – these symptoms include menorrhagia and often dysphoria and depression more frequently than in menopause</w:t>
            </w:r>
            <w:r w:rsidR="009F0503">
              <w:rPr>
                <w:sz w:val="20"/>
              </w:rPr>
              <w:t>.</w:t>
            </w:r>
            <w:r>
              <w:rPr>
                <w:sz w:val="20"/>
              </w:rPr>
              <w:t xml:space="preserve"> </w:t>
            </w:r>
            <w:r w:rsidR="009F0503">
              <w:rPr>
                <w:sz w:val="20"/>
              </w:rPr>
              <w:t>P</w:t>
            </w:r>
            <w:r>
              <w:rPr>
                <w:sz w:val="20"/>
              </w:rPr>
              <w:t xml:space="preserve">atients should be </w:t>
            </w:r>
            <w:r w:rsidR="002B5133">
              <w:rPr>
                <w:sz w:val="20"/>
              </w:rPr>
              <w:t xml:space="preserve"> </w:t>
            </w:r>
            <w:r w:rsidR="00056221">
              <w:rPr>
                <w:sz w:val="20"/>
              </w:rPr>
              <w:t xml:space="preserve">counselled </w:t>
            </w:r>
            <w:r w:rsidR="002B5133">
              <w:rPr>
                <w:sz w:val="20"/>
              </w:rPr>
              <w:t>regarding pregnancy</w:t>
            </w:r>
            <w:r>
              <w:rPr>
                <w:sz w:val="20"/>
              </w:rPr>
              <w:t xml:space="preserve">. In addition, there are hormonal treatments labelled for menorrhagia and </w:t>
            </w:r>
            <w:proofErr w:type="spellStart"/>
            <w:r>
              <w:rPr>
                <w:sz w:val="20"/>
              </w:rPr>
              <w:t>dypsphor</w:t>
            </w:r>
            <w:r w:rsidR="001338E7">
              <w:rPr>
                <w:sz w:val="20"/>
              </w:rPr>
              <w:t>i</w:t>
            </w:r>
            <w:r>
              <w:rPr>
                <w:sz w:val="20"/>
              </w:rPr>
              <w:t>a</w:t>
            </w:r>
            <w:proofErr w:type="spellEnd"/>
            <w:r>
              <w:rPr>
                <w:sz w:val="20"/>
              </w:rPr>
              <w:t xml:space="preserve"> </w:t>
            </w:r>
            <w:r w:rsidR="00922EF8">
              <w:rPr>
                <w:sz w:val="20"/>
              </w:rPr>
              <w:t>that</w:t>
            </w:r>
            <w:r>
              <w:rPr>
                <w:sz w:val="20"/>
              </w:rPr>
              <w:t xml:space="preserve"> may be useful in this population</w:t>
            </w:r>
            <w:r w:rsidR="001338E7">
              <w:rPr>
                <w:sz w:val="20"/>
              </w:rPr>
              <w:t xml:space="preserve"> and for menorrhagia there is NICE guidance which coul</w:t>
            </w:r>
            <w:r w:rsidR="00922EF8">
              <w:rPr>
                <w:sz w:val="20"/>
              </w:rPr>
              <w:t>d</w:t>
            </w:r>
            <w:r w:rsidR="001338E7">
              <w:rPr>
                <w:sz w:val="20"/>
              </w:rPr>
              <w:t xml:space="preserve"> be cross</w:t>
            </w:r>
            <w:r w:rsidR="00922EF8">
              <w:rPr>
                <w:sz w:val="20"/>
              </w:rPr>
              <w:t>-</w:t>
            </w:r>
            <w:r w:rsidR="001338E7">
              <w:rPr>
                <w:sz w:val="20"/>
              </w:rPr>
              <w:t>referenced.</w:t>
            </w:r>
          </w:p>
        </w:tc>
      </w:tr>
      <w:tr w:rsidR="00A812B3" w:rsidRPr="00E2582E" w14:paraId="777FE0DB" w14:textId="77777777" w:rsidTr="00410DF6">
        <w:trPr>
          <w:cantSplit/>
          <w:trHeight w:val="228"/>
        </w:trPr>
        <w:tc>
          <w:tcPr>
            <w:tcW w:w="1804" w:type="dxa"/>
            <w:tcBorders>
              <w:top w:val="single" w:sz="4" w:space="0" w:color="auto"/>
            </w:tcBorders>
          </w:tcPr>
          <w:p w14:paraId="4C253531" w14:textId="0E1758E7" w:rsidR="00A812B3" w:rsidRPr="00E2582E" w:rsidRDefault="001338E7" w:rsidP="0044012A">
            <w:pPr>
              <w:jc w:val="center"/>
              <w:rPr>
                <w:sz w:val="20"/>
              </w:rPr>
            </w:pPr>
            <w:r>
              <w:rPr>
                <w:sz w:val="20"/>
              </w:rPr>
              <w:t>8</w:t>
            </w:r>
          </w:p>
        </w:tc>
        <w:tc>
          <w:tcPr>
            <w:tcW w:w="1805" w:type="dxa"/>
            <w:tcBorders>
              <w:top w:val="single" w:sz="4" w:space="0" w:color="auto"/>
            </w:tcBorders>
          </w:tcPr>
          <w:p w14:paraId="4A7663E1" w14:textId="04BC1A46" w:rsidR="00A812B3" w:rsidRPr="00E2582E" w:rsidRDefault="00A166D3">
            <w:pPr>
              <w:rPr>
                <w:sz w:val="20"/>
              </w:rPr>
            </w:pPr>
            <w:r>
              <w:rPr>
                <w:sz w:val="20"/>
              </w:rPr>
              <w:t>005</w:t>
            </w:r>
          </w:p>
        </w:tc>
        <w:tc>
          <w:tcPr>
            <w:tcW w:w="1804" w:type="dxa"/>
            <w:tcBorders>
              <w:top w:val="single" w:sz="4" w:space="0" w:color="auto"/>
            </w:tcBorders>
          </w:tcPr>
          <w:p w14:paraId="3AE288BA" w14:textId="405D16F1" w:rsidR="00A812B3" w:rsidRPr="00E2582E" w:rsidRDefault="00A166D3">
            <w:pPr>
              <w:rPr>
                <w:sz w:val="20"/>
              </w:rPr>
            </w:pPr>
            <w:r>
              <w:rPr>
                <w:sz w:val="20"/>
              </w:rPr>
              <w:t>In the table</w:t>
            </w:r>
          </w:p>
        </w:tc>
        <w:tc>
          <w:tcPr>
            <w:tcW w:w="8770" w:type="dxa"/>
            <w:tcBorders>
              <w:top w:val="single" w:sz="4" w:space="0" w:color="auto"/>
            </w:tcBorders>
          </w:tcPr>
          <w:p w14:paraId="1FA4272E" w14:textId="7FCE14E7" w:rsidR="00A812B3" w:rsidRPr="00E2582E" w:rsidRDefault="003159A9">
            <w:pPr>
              <w:rPr>
                <w:sz w:val="20"/>
              </w:rPr>
            </w:pPr>
            <w:r>
              <w:rPr>
                <w:sz w:val="20"/>
              </w:rPr>
              <w:t xml:space="preserve">Section 1.4 we believe urogenital atrophy should be aligned with </w:t>
            </w:r>
            <w:r w:rsidR="006A066C" w:rsidRPr="006A066C">
              <w:rPr>
                <w:sz w:val="20"/>
              </w:rPr>
              <w:t>Genitourinary Syndrome of Menopause</w:t>
            </w:r>
            <w:r w:rsidR="006A066C">
              <w:rPr>
                <w:sz w:val="20"/>
              </w:rPr>
              <w:t xml:space="preserve"> and possibly </w:t>
            </w:r>
            <w:r>
              <w:rPr>
                <w:sz w:val="20"/>
              </w:rPr>
              <w:t xml:space="preserve">vulvar vaginal </w:t>
            </w:r>
            <w:r w:rsidR="003E6597">
              <w:rPr>
                <w:sz w:val="20"/>
              </w:rPr>
              <w:t>atrophy</w:t>
            </w:r>
            <w:r w:rsidR="00922EF8">
              <w:rPr>
                <w:sz w:val="20"/>
              </w:rPr>
              <w:t>,</w:t>
            </w:r>
            <w:r w:rsidR="003E6597">
              <w:rPr>
                <w:sz w:val="20"/>
              </w:rPr>
              <w:t xml:space="preserve"> </w:t>
            </w:r>
            <w:r>
              <w:rPr>
                <w:sz w:val="20"/>
              </w:rPr>
              <w:t xml:space="preserve">as this </w:t>
            </w:r>
            <w:r w:rsidR="003E6597">
              <w:rPr>
                <w:sz w:val="20"/>
              </w:rPr>
              <w:t xml:space="preserve"> </w:t>
            </w:r>
            <w:r w:rsidR="006A066C">
              <w:rPr>
                <w:sz w:val="20"/>
              </w:rPr>
              <w:t xml:space="preserve">latter </w:t>
            </w:r>
            <w:r w:rsidR="003E6597">
              <w:rPr>
                <w:sz w:val="20"/>
              </w:rPr>
              <w:t xml:space="preserve">term </w:t>
            </w:r>
            <w:r w:rsidR="006A066C">
              <w:rPr>
                <w:sz w:val="20"/>
              </w:rPr>
              <w:t xml:space="preserve">is still </w:t>
            </w:r>
            <w:r w:rsidR="003E6597">
              <w:rPr>
                <w:sz w:val="20"/>
              </w:rPr>
              <w:t>used</w:t>
            </w:r>
            <w:r>
              <w:rPr>
                <w:sz w:val="20"/>
              </w:rPr>
              <w:t xml:space="preserve"> in labelling for treatment</w:t>
            </w:r>
            <w:r w:rsidR="003E6597">
              <w:rPr>
                <w:sz w:val="20"/>
              </w:rPr>
              <w:t xml:space="preserve">, </w:t>
            </w:r>
          </w:p>
        </w:tc>
      </w:tr>
      <w:tr w:rsidR="00A812B3" w:rsidRPr="00E2582E" w14:paraId="1FA971B1" w14:textId="77777777" w:rsidTr="00410DF6">
        <w:trPr>
          <w:cantSplit/>
          <w:trHeight w:val="228"/>
        </w:trPr>
        <w:tc>
          <w:tcPr>
            <w:tcW w:w="1804" w:type="dxa"/>
            <w:tcBorders>
              <w:top w:val="single" w:sz="4" w:space="0" w:color="auto"/>
            </w:tcBorders>
          </w:tcPr>
          <w:p w14:paraId="7FE226E5" w14:textId="7481E62A" w:rsidR="00A812B3" w:rsidRPr="00E2582E" w:rsidRDefault="001338E7" w:rsidP="0044012A">
            <w:pPr>
              <w:jc w:val="center"/>
              <w:rPr>
                <w:sz w:val="20"/>
              </w:rPr>
            </w:pPr>
            <w:r>
              <w:rPr>
                <w:sz w:val="20"/>
              </w:rPr>
              <w:t>9</w:t>
            </w:r>
          </w:p>
        </w:tc>
        <w:tc>
          <w:tcPr>
            <w:tcW w:w="1805" w:type="dxa"/>
            <w:tcBorders>
              <w:top w:val="single" w:sz="4" w:space="0" w:color="auto"/>
            </w:tcBorders>
          </w:tcPr>
          <w:p w14:paraId="21FB0A6A" w14:textId="211E6047" w:rsidR="00A812B3" w:rsidRPr="00E2582E" w:rsidRDefault="003159A9">
            <w:pPr>
              <w:rPr>
                <w:sz w:val="20"/>
              </w:rPr>
            </w:pPr>
            <w:r>
              <w:rPr>
                <w:sz w:val="20"/>
              </w:rPr>
              <w:t>005</w:t>
            </w:r>
          </w:p>
        </w:tc>
        <w:tc>
          <w:tcPr>
            <w:tcW w:w="1804" w:type="dxa"/>
            <w:tcBorders>
              <w:top w:val="single" w:sz="4" w:space="0" w:color="auto"/>
            </w:tcBorders>
          </w:tcPr>
          <w:p w14:paraId="36CB5BA6" w14:textId="747769FD" w:rsidR="00A812B3" w:rsidRPr="00E2582E" w:rsidRDefault="003159A9">
            <w:pPr>
              <w:rPr>
                <w:sz w:val="20"/>
              </w:rPr>
            </w:pPr>
            <w:r>
              <w:rPr>
                <w:sz w:val="20"/>
              </w:rPr>
              <w:t>In the table</w:t>
            </w:r>
          </w:p>
        </w:tc>
        <w:tc>
          <w:tcPr>
            <w:tcW w:w="8770" w:type="dxa"/>
            <w:tcBorders>
              <w:top w:val="single" w:sz="4" w:space="0" w:color="auto"/>
            </w:tcBorders>
          </w:tcPr>
          <w:p w14:paraId="3287D2A9" w14:textId="5EFFCE34" w:rsidR="00A812B3" w:rsidRPr="00E2582E" w:rsidRDefault="005D19AE">
            <w:pPr>
              <w:rPr>
                <w:sz w:val="20"/>
              </w:rPr>
            </w:pPr>
            <w:r>
              <w:rPr>
                <w:sz w:val="20"/>
              </w:rPr>
              <w:t xml:space="preserve">Section 1.4 </w:t>
            </w:r>
            <w:r w:rsidR="00922EF8">
              <w:rPr>
                <w:sz w:val="20"/>
              </w:rPr>
              <w:t>W</w:t>
            </w:r>
            <w:r>
              <w:rPr>
                <w:sz w:val="20"/>
              </w:rPr>
              <w:t>hilst isoflavones and black cohosh have well establish use labels there is considerable uncertainty they are effective in VMS</w:t>
            </w:r>
            <w:r w:rsidR="00B0014E">
              <w:rPr>
                <w:sz w:val="20"/>
              </w:rPr>
              <w:t>,</w:t>
            </w:r>
            <w:r w:rsidR="005921C4">
              <w:rPr>
                <w:sz w:val="20"/>
              </w:rPr>
              <w:t xml:space="preserve"> yet the guidance gives little to distinguish</w:t>
            </w:r>
            <w:r w:rsidR="006E6036">
              <w:rPr>
                <w:sz w:val="20"/>
              </w:rPr>
              <w:t xml:space="preserve"> from other more effective treatments</w:t>
            </w:r>
            <w:r w:rsidR="00B0014E">
              <w:rPr>
                <w:sz w:val="20"/>
              </w:rPr>
              <w:t>.</w:t>
            </w:r>
            <w:r>
              <w:rPr>
                <w:sz w:val="20"/>
              </w:rPr>
              <w:t xml:space="preserve">  </w:t>
            </w:r>
          </w:p>
        </w:tc>
      </w:tr>
      <w:tr w:rsidR="002E746C" w:rsidRPr="00E2582E" w14:paraId="453E2F0F" w14:textId="77777777" w:rsidTr="00410DF6">
        <w:trPr>
          <w:cantSplit/>
          <w:trHeight w:val="228"/>
        </w:trPr>
        <w:tc>
          <w:tcPr>
            <w:tcW w:w="1804" w:type="dxa"/>
            <w:tcBorders>
              <w:top w:val="single" w:sz="4" w:space="0" w:color="auto"/>
            </w:tcBorders>
          </w:tcPr>
          <w:p w14:paraId="47374F5F" w14:textId="46E38EA6" w:rsidR="002E746C" w:rsidRDefault="001338E7" w:rsidP="0044012A">
            <w:pPr>
              <w:jc w:val="center"/>
              <w:rPr>
                <w:sz w:val="20"/>
              </w:rPr>
            </w:pPr>
            <w:r>
              <w:rPr>
                <w:sz w:val="20"/>
              </w:rPr>
              <w:t>10</w:t>
            </w:r>
          </w:p>
        </w:tc>
        <w:tc>
          <w:tcPr>
            <w:tcW w:w="1805" w:type="dxa"/>
            <w:tcBorders>
              <w:top w:val="single" w:sz="4" w:space="0" w:color="auto"/>
            </w:tcBorders>
          </w:tcPr>
          <w:p w14:paraId="2FECD6EA" w14:textId="16F9AE12" w:rsidR="002E746C" w:rsidRDefault="002E746C">
            <w:pPr>
              <w:rPr>
                <w:sz w:val="20"/>
              </w:rPr>
            </w:pPr>
            <w:r>
              <w:rPr>
                <w:sz w:val="20"/>
              </w:rPr>
              <w:t>005</w:t>
            </w:r>
          </w:p>
        </w:tc>
        <w:tc>
          <w:tcPr>
            <w:tcW w:w="1804" w:type="dxa"/>
            <w:tcBorders>
              <w:top w:val="single" w:sz="4" w:space="0" w:color="auto"/>
            </w:tcBorders>
          </w:tcPr>
          <w:p w14:paraId="2BFD9BF6" w14:textId="16F961B0" w:rsidR="002E746C" w:rsidRDefault="002E746C">
            <w:pPr>
              <w:rPr>
                <w:sz w:val="20"/>
              </w:rPr>
            </w:pPr>
            <w:r>
              <w:rPr>
                <w:sz w:val="20"/>
              </w:rPr>
              <w:t>In the table</w:t>
            </w:r>
          </w:p>
        </w:tc>
        <w:tc>
          <w:tcPr>
            <w:tcW w:w="8770" w:type="dxa"/>
            <w:tcBorders>
              <w:top w:val="single" w:sz="4" w:space="0" w:color="auto"/>
            </w:tcBorders>
          </w:tcPr>
          <w:p w14:paraId="3B54F4C0" w14:textId="239B5C0D" w:rsidR="002E746C" w:rsidRDefault="00BC4C2F">
            <w:pPr>
              <w:rPr>
                <w:sz w:val="20"/>
              </w:rPr>
            </w:pPr>
            <w:r>
              <w:rPr>
                <w:sz w:val="20"/>
              </w:rPr>
              <w:t>Altered sexual function should be separated as dyspareunia from Hypoactive Sexual Desire Disorder</w:t>
            </w:r>
            <w:r w:rsidR="001338E7">
              <w:rPr>
                <w:sz w:val="20"/>
              </w:rPr>
              <w:t xml:space="preserve"> (HSDD)</w:t>
            </w:r>
            <w:r>
              <w:rPr>
                <w:sz w:val="20"/>
              </w:rPr>
              <w:t xml:space="preserve">. </w:t>
            </w:r>
            <w:r w:rsidRPr="00BC4C2F">
              <w:rPr>
                <w:sz w:val="20"/>
              </w:rPr>
              <w:t xml:space="preserve">Testosterone has been known for some years to be effective for HSDD and whilst </w:t>
            </w:r>
            <w:proofErr w:type="spellStart"/>
            <w:r w:rsidRPr="00BC4C2F">
              <w:rPr>
                <w:sz w:val="20"/>
              </w:rPr>
              <w:t>Intrinsa</w:t>
            </w:r>
            <w:proofErr w:type="spellEnd"/>
            <w:r w:rsidRPr="00BC4C2F">
              <w:rPr>
                <w:sz w:val="20"/>
              </w:rPr>
              <w:t xml:space="preserve"> testosterone patch demonstrated efficacy over </w:t>
            </w:r>
            <w:proofErr w:type="spellStart"/>
            <w:r w:rsidRPr="00BC4C2F">
              <w:rPr>
                <w:sz w:val="20"/>
              </w:rPr>
              <w:t>placebo</w:t>
            </w:r>
            <w:r w:rsidR="00C77522">
              <w:rPr>
                <w:sz w:val="20"/>
              </w:rPr>
              <w:t>.Treatments</w:t>
            </w:r>
            <w:proofErr w:type="spellEnd"/>
            <w:r w:rsidR="00C77522">
              <w:rPr>
                <w:sz w:val="20"/>
              </w:rPr>
              <w:t xml:space="preserve"> for </w:t>
            </w:r>
            <w:r w:rsidRPr="00BC4C2F">
              <w:rPr>
                <w:sz w:val="20"/>
              </w:rPr>
              <w:t xml:space="preserve">HSDD </w:t>
            </w:r>
            <w:r w:rsidR="00C77522">
              <w:rPr>
                <w:sz w:val="20"/>
              </w:rPr>
              <w:t xml:space="preserve"> are available in US but</w:t>
            </w:r>
            <w:r w:rsidR="00F118AA">
              <w:rPr>
                <w:sz w:val="20"/>
              </w:rPr>
              <w:t xml:space="preserve"> for</w:t>
            </w:r>
            <w:r w:rsidR="001338E7">
              <w:rPr>
                <w:sz w:val="20"/>
              </w:rPr>
              <w:t xml:space="preserve"> </w:t>
            </w:r>
            <w:r w:rsidRPr="00BC4C2F">
              <w:rPr>
                <w:sz w:val="20"/>
              </w:rPr>
              <w:t xml:space="preserve">premenopausal women. </w:t>
            </w:r>
            <w:r w:rsidR="001338E7">
              <w:rPr>
                <w:sz w:val="20"/>
              </w:rPr>
              <w:t xml:space="preserve">The </w:t>
            </w:r>
            <w:proofErr w:type="spellStart"/>
            <w:r w:rsidRPr="00BC4C2F">
              <w:rPr>
                <w:sz w:val="20"/>
              </w:rPr>
              <w:t>Intrinsa</w:t>
            </w:r>
            <w:proofErr w:type="spellEnd"/>
            <w:r w:rsidRPr="00BC4C2F">
              <w:rPr>
                <w:sz w:val="20"/>
              </w:rPr>
              <w:t xml:space="preserve"> testosterone patch for HSDD </w:t>
            </w:r>
            <w:r w:rsidR="00F118AA">
              <w:rPr>
                <w:sz w:val="20"/>
              </w:rPr>
              <w:t xml:space="preserve">was available </w:t>
            </w:r>
            <w:r w:rsidRPr="00BC4C2F">
              <w:rPr>
                <w:sz w:val="20"/>
              </w:rPr>
              <w:t xml:space="preserve">but limited the indication to women with surgically induced menopause taking concomitant </w:t>
            </w:r>
            <w:proofErr w:type="spellStart"/>
            <w:r w:rsidRPr="00BC4C2F">
              <w:rPr>
                <w:sz w:val="20"/>
              </w:rPr>
              <w:t>estrogen</w:t>
            </w:r>
            <w:proofErr w:type="spellEnd"/>
            <w:r w:rsidRPr="00BC4C2F">
              <w:rPr>
                <w:sz w:val="20"/>
              </w:rPr>
              <w:t xml:space="preserve"> therapy. </w:t>
            </w:r>
            <w:r w:rsidR="00F118AA">
              <w:rPr>
                <w:sz w:val="20"/>
              </w:rPr>
              <w:t>P</w:t>
            </w:r>
            <w:r w:rsidR="001338E7">
              <w:rPr>
                <w:sz w:val="20"/>
              </w:rPr>
              <w:t xml:space="preserve">erhaps should be dealt with </w:t>
            </w:r>
            <w:r w:rsidR="00F118AA">
              <w:rPr>
                <w:sz w:val="20"/>
              </w:rPr>
              <w:t xml:space="preserve">in separate guidance </w:t>
            </w:r>
            <w:r w:rsidR="001338E7">
              <w:rPr>
                <w:sz w:val="20"/>
              </w:rPr>
              <w:t xml:space="preserve"> as is menorrhagia, however</w:t>
            </w:r>
            <w:r w:rsidR="00B0014E">
              <w:rPr>
                <w:sz w:val="20"/>
              </w:rPr>
              <w:t>.</w:t>
            </w:r>
          </w:p>
        </w:tc>
      </w:tr>
      <w:tr w:rsidR="00A812B3" w:rsidRPr="00E2582E" w14:paraId="7A08108C" w14:textId="77777777" w:rsidTr="00410DF6">
        <w:trPr>
          <w:cantSplit/>
          <w:trHeight w:val="228"/>
        </w:trPr>
        <w:tc>
          <w:tcPr>
            <w:tcW w:w="1804" w:type="dxa"/>
            <w:tcBorders>
              <w:top w:val="single" w:sz="4" w:space="0" w:color="auto"/>
            </w:tcBorders>
          </w:tcPr>
          <w:p w14:paraId="427B540A" w14:textId="54B19439" w:rsidR="00A812B3" w:rsidRPr="00E2582E" w:rsidRDefault="001338E7" w:rsidP="001338E7">
            <w:pPr>
              <w:jc w:val="center"/>
              <w:rPr>
                <w:sz w:val="20"/>
              </w:rPr>
            </w:pPr>
            <w:r>
              <w:rPr>
                <w:sz w:val="20"/>
              </w:rPr>
              <w:t>11</w:t>
            </w:r>
          </w:p>
        </w:tc>
        <w:tc>
          <w:tcPr>
            <w:tcW w:w="1805" w:type="dxa"/>
            <w:tcBorders>
              <w:top w:val="single" w:sz="4" w:space="0" w:color="auto"/>
            </w:tcBorders>
          </w:tcPr>
          <w:p w14:paraId="1053DB14" w14:textId="1F3CB1E6" w:rsidR="00A812B3" w:rsidRPr="00E2582E" w:rsidRDefault="005D19AE">
            <w:pPr>
              <w:rPr>
                <w:sz w:val="20"/>
              </w:rPr>
            </w:pPr>
            <w:r>
              <w:rPr>
                <w:sz w:val="20"/>
              </w:rPr>
              <w:t>00</w:t>
            </w:r>
            <w:r w:rsidR="00410DF6">
              <w:rPr>
                <w:sz w:val="20"/>
              </w:rPr>
              <w:t>8</w:t>
            </w:r>
          </w:p>
        </w:tc>
        <w:tc>
          <w:tcPr>
            <w:tcW w:w="1804" w:type="dxa"/>
            <w:tcBorders>
              <w:top w:val="single" w:sz="4" w:space="0" w:color="auto"/>
            </w:tcBorders>
          </w:tcPr>
          <w:p w14:paraId="7C0840C4" w14:textId="388987F1" w:rsidR="00A812B3" w:rsidRPr="00E2582E" w:rsidRDefault="00410DF6">
            <w:pPr>
              <w:rPr>
                <w:sz w:val="20"/>
              </w:rPr>
            </w:pPr>
            <w:r>
              <w:rPr>
                <w:sz w:val="20"/>
              </w:rPr>
              <w:t>Line 11 onwards</w:t>
            </w:r>
          </w:p>
        </w:tc>
        <w:tc>
          <w:tcPr>
            <w:tcW w:w="8770" w:type="dxa"/>
            <w:tcBorders>
              <w:top w:val="single" w:sz="4" w:space="0" w:color="auto"/>
            </w:tcBorders>
          </w:tcPr>
          <w:p w14:paraId="63A98960" w14:textId="1D287D6A" w:rsidR="00C047D9" w:rsidRPr="00E2582E" w:rsidRDefault="00410DF6" w:rsidP="002E746C">
            <w:pPr>
              <w:rPr>
                <w:sz w:val="20"/>
              </w:rPr>
            </w:pPr>
            <w:r>
              <w:rPr>
                <w:sz w:val="20"/>
              </w:rPr>
              <w:t>The risks of hormone replacement therapy should really be related to individual products. There is evidence</w:t>
            </w:r>
            <w:r w:rsidR="00C047D9">
              <w:rPr>
                <w:sz w:val="20"/>
              </w:rPr>
              <w:t>,</w:t>
            </w:r>
            <w:r>
              <w:rPr>
                <w:sz w:val="20"/>
              </w:rPr>
              <w:t xml:space="preserve"> particularly for venous thrombosis</w:t>
            </w:r>
            <w:r w:rsidR="00C047D9">
              <w:rPr>
                <w:sz w:val="20"/>
              </w:rPr>
              <w:t>,</w:t>
            </w:r>
            <w:r>
              <w:rPr>
                <w:sz w:val="20"/>
              </w:rPr>
              <w:t xml:space="preserve"> that different </w:t>
            </w:r>
            <w:r w:rsidR="00C047D9">
              <w:rPr>
                <w:sz w:val="20"/>
              </w:rPr>
              <w:t xml:space="preserve">doses and </w:t>
            </w:r>
            <w:r>
              <w:rPr>
                <w:sz w:val="20"/>
              </w:rPr>
              <w:t xml:space="preserve">combinations of oestrogens and </w:t>
            </w:r>
            <w:proofErr w:type="spellStart"/>
            <w:r>
              <w:rPr>
                <w:sz w:val="20"/>
              </w:rPr>
              <w:t>progesterones</w:t>
            </w:r>
            <w:proofErr w:type="spellEnd"/>
            <w:r w:rsidR="00C047D9">
              <w:rPr>
                <w:sz w:val="20"/>
              </w:rPr>
              <w:t xml:space="preserve"> and routes of administration (oral, patch, intravaginal</w:t>
            </w:r>
            <w:r w:rsidR="002E746C">
              <w:rPr>
                <w:sz w:val="20"/>
              </w:rPr>
              <w:t>,</w:t>
            </w:r>
            <w:r w:rsidR="00C047D9">
              <w:rPr>
                <w:sz w:val="20"/>
              </w:rPr>
              <w:t xml:space="preserve"> intrauterine</w:t>
            </w:r>
            <w:r w:rsidR="002E746C">
              <w:rPr>
                <w:sz w:val="20"/>
              </w:rPr>
              <w:t xml:space="preserve"> etc</w:t>
            </w:r>
            <w:r w:rsidR="00C047D9">
              <w:rPr>
                <w:sz w:val="20"/>
              </w:rPr>
              <w:t>) have different impact</w:t>
            </w:r>
            <w:r w:rsidR="00B0014E">
              <w:rPr>
                <w:sz w:val="20"/>
              </w:rPr>
              <w:t>s</w:t>
            </w:r>
            <w:r w:rsidR="00C047D9">
              <w:rPr>
                <w:sz w:val="20"/>
              </w:rPr>
              <w:t xml:space="preserve"> on both clinical outcome and well established haematological surrogate markers. </w:t>
            </w:r>
            <w:r w:rsidR="00A06E6A">
              <w:rPr>
                <w:sz w:val="20"/>
              </w:rPr>
              <w:t>This was acknowledge</w:t>
            </w:r>
            <w:r w:rsidR="00B0014E">
              <w:rPr>
                <w:sz w:val="20"/>
              </w:rPr>
              <w:t>d</w:t>
            </w:r>
            <w:r w:rsidR="00A06E6A">
              <w:rPr>
                <w:sz w:val="20"/>
              </w:rPr>
              <w:t xml:space="preserve"> in the Lancet article cited in the 2019 </w:t>
            </w:r>
            <w:r w:rsidR="00B0014E">
              <w:rPr>
                <w:sz w:val="20"/>
              </w:rPr>
              <w:t xml:space="preserve">guidance </w:t>
            </w:r>
            <w:r w:rsidR="00A06E6A">
              <w:rPr>
                <w:sz w:val="20"/>
              </w:rPr>
              <w:t xml:space="preserve">update. </w:t>
            </w:r>
            <w:r w:rsidR="00C047D9">
              <w:rPr>
                <w:sz w:val="20"/>
              </w:rPr>
              <w:t>The new oestrogen, estetrol</w:t>
            </w:r>
            <w:r w:rsidR="00A06E6A">
              <w:rPr>
                <w:sz w:val="20"/>
              </w:rPr>
              <w:t xml:space="preserve"> (E4)</w:t>
            </w:r>
            <w:r w:rsidR="00C047D9">
              <w:rPr>
                <w:sz w:val="20"/>
              </w:rPr>
              <w:t>, as yet only approved for contraception</w:t>
            </w:r>
            <w:r w:rsidR="002E746C">
              <w:rPr>
                <w:sz w:val="20"/>
              </w:rPr>
              <w:t>,</w:t>
            </w:r>
            <w:r w:rsidR="00C047D9">
              <w:rPr>
                <w:sz w:val="20"/>
              </w:rPr>
              <w:t xml:space="preserve"> but in development</w:t>
            </w:r>
            <w:r w:rsidR="002E746C">
              <w:rPr>
                <w:sz w:val="20"/>
              </w:rPr>
              <w:t xml:space="preserve"> for menopause</w:t>
            </w:r>
            <w:r w:rsidR="00C047D9">
              <w:rPr>
                <w:sz w:val="20"/>
              </w:rPr>
              <w:t xml:space="preserve">, </w:t>
            </w:r>
            <w:r w:rsidR="002E746C">
              <w:rPr>
                <w:sz w:val="20"/>
              </w:rPr>
              <w:t xml:space="preserve">is </w:t>
            </w:r>
            <w:r w:rsidR="00C047D9">
              <w:rPr>
                <w:sz w:val="20"/>
              </w:rPr>
              <w:t xml:space="preserve">a selective </w:t>
            </w:r>
            <w:r w:rsidR="002E746C">
              <w:rPr>
                <w:sz w:val="20"/>
              </w:rPr>
              <w:t xml:space="preserve">foetal </w:t>
            </w:r>
            <w:r w:rsidR="00C047D9">
              <w:rPr>
                <w:sz w:val="20"/>
              </w:rPr>
              <w:t>oestrogen</w:t>
            </w:r>
            <w:r w:rsidR="002E746C">
              <w:rPr>
                <w:sz w:val="20"/>
              </w:rPr>
              <w:t xml:space="preserve"> and has a </w:t>
            </w:r>
            <w:r w:rsidR="00A06E6A">
              <w:rPr>
                <w:sz w:val="20"/>
              </w:rPr>
              <w:t xml:space="preserve">very </w:t>
            </w:r>
            <w:r w:rsidR="002E746C">
              <w:rPr>
                <w:sz w:val="20"/>
              </w:rPr>
              <w:t>different pharmacological profile</w:t>
            </w:r>
            <w:r w:rsidR="00A06E6A">
              <w:rPr>
                <w:sz w:val="20"/>
              </w:rPr>
              <w:t xml:space="preserve"> to E2</w:t>
            </w:r>
            <w:r w:rsidR="00C047D9">
              <w:rPr>
                <w:sz w:val="20"/>
              </w:rPr>
              <w:t>. Grouping all products together will be very confusing for both prescriber and user.</w:t>
            </w:r>
          </w:p>
        </w:tc>
      </w:tr>
      <w:tr w:rsidR="001338E7" w:rsidRPr="00E2582E" w14:paraId="7646B044" w14:textId="77777777" w:rsidTr="00410DF6">
        <w:trPr>
          <w:cantSplit/>
          <w:trHeight w:val="228"/>
        </w:trPr>
        <w:tc>
          <w:tcPr>
            <w:tcW w:w="1804" w:type="dxa"/>
            <w:tcBorders>
              <w:top w:val="single" w:sz="4" w:space="0" w:color="auto"/>
            </w:tcBorders>
          </w:tcPr>
          <w:p w14:paraId="5B7B878A" w14:textId="67A10E6B" w:rsidR="001338E7" w:rsidRDefault="001338E7" w:rsidP="0044012A">
            <w:pPr>
              <w:jc w:val="center"/>
              <w:rPr>
                <w:sz w:val="20"/>
              </w:rPr>
            </w:pPr>
            <w:r>
              <w:rPr>
                <w:sz w:val="20"/>
              </w:rPr>
              <w:t>12</w:t>
            </w:r>
          </w:p>
        </w:tc>
        <w:tc>
          <w:tcPr>
            <w:tcW w:w="1805" w:type="dxa"/>
            <w:tcBorders>
              <w:top w:val="single" w:sz="4" w:space="0" w:color="auto"/>
            </w:tcBorders>
          </w:tcPr>
          <w:p w14:paraId="2D0B9DFD" w14:textId="1B97A13E" w:rsidR="001338E7" w:rsidRDefault="001338E7">
            <w:pPr>
              <w:rPr>
                <w:sz w:val="20"/>
              </w:rPr>
            </w:pPr>
            <w:r>
              <w:rPr>
                <w:sz w:val="20"/>
              </w:rPr>
              <w:t xml:space="preserve">008 </w:t>
            </w:r>
          </w:p>
        </w:tc>
        <w:tc>
          <w:tcPr>
            <w:tcW w:w="1804" w:type="dxa"/>
            <w:tcBorders>
              <w:top w:val="single" w:sz="4" w:space="0" w:color="auto"/>
            </w:tcBorders>
          </w:tcPr>
          <w:p w14:paraId="31B8B91F" w14:textId="540C1341" w:rsidR="001338E7" w:rsidRDefault="001338E7">
            <w:pPr>
              <w:rPr>
                <w:sz w:val="20"/>
              </w:rPr>
            </w:pPr>
            <w:r>
              <w:rPr>
                <w:sz w:val="20"/>
              </w:rPr>
              <w:t>Line 11 onwards</w:t>
            </w:r>
          </w:p>
        </w:tc>
        <w:tc>
          <w:tcPr>
            <w:tcW w:w="8770" w:type="dxa"/>
            <w:tcBorders>
              <w:top w:val="single" w:sz="4" w:space="0" w:color="auto"/>
            </w:tcBorders>
          </w:tcPr>
          <w:p w14:paraId="16A2954F" w14:textId="2799A974" w:rsidR="001338E7" w:rsidRDefault="001338E7">
            <w:pPr>
              <w:rPr>
                <w:sz w:val="20"/>
              </w:rPr>
            </w:pPr>
            <w:r w:rsidRPr="001338E7">
              <w:rPr>
                <w:sz w:val="20"/>
              </w:rPr>
              <w:t xml:space="preserve">With regard to benefits </w:t>
            </w:r>
            <w:r w:rsidR="004A2E83">
              <w:rPr>
                <w:sz w:val="20"/>
              </w:rPr>
              <w:t xml:space="preserve">– </w:t>
            </w:r>
            <w:r w:rsidRPr="001338E7">
              <w:rPr>
                <w:sz w:val="20"/>
              </w:rPr>
              <w:t>again these will also not apply to all hormonal treatments and routes of administration. Treatment should be separated from prevention with regard to benefit. Whilst there is some evidence for treatment for osteoporosis this is unlikely to be carried into the label of newer products</w:t>
            </w:r>
            <w:r w:rsidR="008E3D3E">
              <w:rPr>
                <w:sz w:val="20"/>
              </w:rPr>
              <w:t>,</w:t>
            </w:r>
            <w:r w:rsidRPr="001338E7">
              <w:rPr>
                <w:sz w:val="20"/>
              </w:rPr>
              <w:t xml:space="preserve"> even those with hormonal basis for treatment. Prevention is difficult to demonstrate compared to risk and as with lipid lowering drugs should be demonstrated with interventional studies rather than the epidemiological data used for risk. A review of ben</w:t>
            </w:r>
            <w:r w:rsidR="008E3D3E">
              <w:rPr>
                <w:sz w:val="20"/>
              </w:rPr>
              <w:t>e</w:t>
            </w:r>
            <w:r w:rsidRPr="001338E7">
              <w:rPr>
                <w:sz w:val="20"/>
              </w:rPr>
              <w:t>fits is welcomed</w:t>
            </w:r>
            <w:r w:rsidR="008E3D3E">
              <w:rPr>
                <w:sz w:val="20"/>
              </w:rPr>
              <w:t>,</w:t>
            </w:r>
            <w:r w:rsidRPr="001338E7">
              <w:rPr>
                <w:sz w:val="20"/>
              </w:rPr>
              <w:t xml:space="preserve"> but the implication that all treatments result in this should be avoided.</w:t>
            </w:r>
          </w:p>
        </w:tc>
      </w:tr>
      <w:tr w:rsidR="00A812B3" w:rsidRPr="00E2582E" w14:paraId="5881AEE6" w14:textId="77777777" w:rsidTr="00410DF6">
        <w:trPr>
          <w:cantSplit/>
          <w:trHeight w:val="228"/>
        </w:trPr>
        <w:tc>
          <w:tcPr>
            <w:tcW w:w="1804" w:type="dxa"/>
            <w:tcBorders>
              <w:top w:val="single" w:sz="4" w:space="0" w:color="auto"/>
            </w:tcBorders>
          </w:tcPr>
          <w:p w14:paraId="226FC18C" w14:textId="62196FFB" w:rsidR="00A812B3" w:rsidRPr="00E2582E" w:rsidRDefault="001338E7" w:rsidP="0044012A">
            <w:pPr>
              <w:jc w:val="center"/>
              <w:rPr>
                <w:sz w:val="20"/>
              </w:rPr>
            </w:pPr>
            <w:r>
              <w:rPr>
                <w:sz w:val="20"/>
              </w:rPr>
              <w:t>13</w:t>
            </w:r>
          </w:p>
        </w:tc>
        <w:tc>
          <w:tcPr>
            <w:tcW w:w="1805" w:type="dxa"/>
            <w:tcBorders>
              <w:top w:val="single" w:sz="4" w:space="0" w:color="auto"/>
            </w:tcBorders>
          </w:tcPr>
          <w:p w14:paraId="3460E6E9" w14:textId="59216889" w:rsidR="00A812B3" w:rsidRPr="00E2582E" w:rsidRDefault="008E3D3E">
            <w:pPr>
              <w:rPr>
                <w:sz w:val="20"/>
              </w:rPr>
            </w:pPr>
            <w:r>
              <w:rPr>
                <w:sz w:val="20"/>
              </w:rPr>
              <w:t>0</w:t>
            </w:r>
            <w:r w:rsidR="002E746C">
              <w:rPr>
                <w:sz w:val="20"/>
              </w:rPr>
              <w:t>08</w:t>
            </w:r>
          </w:p>
        </w:tc>
        <w:tc>
          <w:tcPr>
            <w:tcW w:w="1804" w:type="dxa"/>
            <w:tcBorders>
              <w:top w:val="single" w:sz="4" w:space="0" w:color="auto"/>
            </w:tcBorders>
          </w:tcPr>
          <w:p w14:paraId="04874453" w14:textId="3E0464C6" w:rsidR="00A812B3" w:rsidRPr="00E2582E" w:rsidRDefault="002E746C">
            <w:pPr>
              <w:rPr>
                <w:sz w:val="20"/>
              </w:rPr>
            </w:pPr>
            <w:r>
              <w:rPr>
                <w:sz w:val="20"/>
              </w:rPr>
              <w:t>Line 11 onward</w:t>
            </w:r>
          </w:p>
        </w:tc>
        <w:tc>
          <w:tcPr>
            <w:tcW w:w="8770" w:type="dxa"/>
            <w:tcBorders>
              <w:top w:val="single" w:sz="4" w:space="0" w:color="auto"/>
            </w:tcBorders>
          </w:tcPr>
          <w:p w14:paraId="5454E929" w14:textId="1E8D4238" w:rsidR="00A812B3" w:rsidRPr="00E2582E" w:rsidRDefault="002E746C">
            <w:pPr>
              <w:rPr>
                <w:sz w:val="20"/>
              </w:rPr>
            </w:pPr>
            <w:r>
              <w:rPr>
                <w:sz w:val="20"/>
              </w:rPr>
              <w:t>There is evidence from epidemiological and registry studies that hormonal replacement therapy has a benefit against progression in COVID</w:t>
            </w:r>
            <w:r w:rsidR="00110B75">
              <w:rPr>
                <w:sz w:val="20"/>
              </w:rPr>
              <w:t xml:space="preserve"> to death</w:t>
            </w:r>
            <w:r w:rsidR="008E3D3E">
              <w:rPr>
                <w:sz w:val="20"/>
              </w:rPr>
              <w:t>,</w:t>
            </w:r>
            <w:r>
              <w:rPr>
                <w:sz w:val="20"/>
              </w:rPr>
              <w:t xml:space="preserve"> but no interventional studies have shown this.</w:t>
            </w:r>
          </w:p>
        </w:tc>
      </w:tr>
      <w:tr w:rsidR="00A812B3" w:rsidRPr="00E2582E" w14:paraId="2E5E0369" w14:textId="77777777" w:rsidTr="00BD58BC">
        <w:trPr>
          <w:cantSplit/>
          <w:trHeight w:val="228"/>
        </w:trPr>
        <w:tc>
          <w:tcPr>
            <w:tcW w:w="1804" w:type="dxa"/>
            <w:tcBorders>
              <w:top w:val="single" w:sz="4" w:space="0" w:color="auto"/>
              <w:bottom w:val="single" w:sz="4" w:space="0" w:color="auto"/>
            </w:tcBorders>
          </w:tcPr>
          <w:p w14:paraId="021F81B4" w14:textId="1CBAE305" w:rsidR="00A812B3" w:rsidRPr="00E2582E" w:rsidRDefault="001338E7" w:rsidP="0044012A">
            <w:pPr>
              <w:jc w:val="center"/>
              <w:rPr>
                <w:sz w:val="20"/>
              </w:rPr>
            </w:pPr>
            <w:r>
              <w:rPr>
                <w:sz w:val="20"/>
              </w:rPr>
              <w:t>14</w:t>
            </w:r>
          </w:p>
        </w:tc>
        <w:tc>
          <w:tcPr>
            <w:tcW w:w="1805" w:type="dxa"/>
            <w:tcBorders>
              <w:top w:val="single" w:sz="4" w:space="0" w:color="auto"/>
              <w:bottom w:val="single" w:sz="4" w:space="0" w:color="auto"/>
            </w:tcBorders>
          </w:tcPr>
          <w:p w14:paraId="0DBF8932" w14:textId="378B153B" w:rsidR="00A812B3" w:rsidRPr="00E2582E" w:rsidRDefault="00A06E6A">
            <w:pPr>
              <w:rPr>
                <w:sz w:val="20"/>
              </w:rPr>
            </w:pPr>
            <w:r>
              <w:rPr>
                <w:sz w:val="20"/>
              </w:rPr>
              <w:t>009</w:t>
            </w:r>
          </w:p>
        </w:tc>
        <w:tc>
          <w:tcPr>
            <w:tcW w:w="1804" w:type="dxa"/>
            <w:tcBorders>
              <w:top w:val="single" w:sz="4" w:space="0" w:color="auto"/>
              <w:bottom w:val="single" w:sz="4" w:space="0" w:color="auto"/>
            </w:tcBorders>
          </w:tcPr>
          <w:p w14:paraId="07FEFC7E" w14:textId="5C3670C2" w:rsidR="00A812B3" w:rsidRPr="00E2582E" w:rsidRDefault="00A06E6A">
            <w:pPr>
              <w:rPr>
                <w:sz w:val="20"/>
              </w:rPr>
            </w:pPr>
            <w:r>
              <w:rPr>
                <w:sz w:val="20"/>
              </w:rPr>
              <w:t>Line 11</w:t>
            </w:r>
          </w:p>
        </w:tc>
        <w:tc>
          <w:tcPr>
            <w:tcW w:w="8770" w:type="dxa"/>
            <w:tcBorders>
              <w:top w:val="single" w:sz="4" w:space="0" w:color="auto"/>
              <w:bottom w:val="single" w:sz="4" w:space="0" w:color="auto"/>
            </w:tcBorders>
          </w:tcPr>
          <w:p w14:paraId="5C29102A" w14:textId="4D30B760" w:rsidR="00A812B3" w:rsidRPr="00E2582E" w:rsidRDefault="00A06E6A">
            <w:pPr>
              <w:rPr>
                <w:sz w:val="20"/>
              </w:rPr>
            </w:pPr>
            <w:r>
              <w:rPr>
                <w:sz w:val="20"/>
              </w:rPr>
              <w:t xml:space="preserve">Main long term outcomes – are very varied in terms of how robust the evidence might </w:t>
            </w:r>
            <w:r w:rsidR="008E3D3E">
              <w:rPr>
                <w:sz w:val="20"/>
              </w:rPr>
              <w:t>need</w:t>
            </w:r>
            <w:r>
              <w:rPr>
                <w:sz w:val="20"/>
              </w:rPr>
              <w:t xml:space="preserve"> to be collect and how </w:t>
            </w:r>
            <w:r w:rsidR="008E3D3E">
              <w:rPr>
                <w:sz w:val="20"/>
              </w:rPr>
              <w:t>‘</w:t>
            </w:r>
            <w:r>
              <w:rPr>
                <w:sz w:val="20"/>
              </w:rPr>
              <w:t>lon</w:t>
            </w:r>
            <w:r w:rsidR="008E3D3E">
              <w:rPr>
                <w:sz w:val="20"/>
              </w:rPr>
              <w:t>g</w:t>
            </w:r>
            <w:r>
              <w:rPr>
                <w:sz w:val="20"/>
              </w:rPr>
              <w:t xml:space="preserve"> term</w:t>
            </w:r>
            <w:r w:rsidR="008E3D3E">
              <w:rPr>
                <w:sz w:val="20"/>
              </w:rPr>
              <w:t>’</w:t>
            </w:r>
            <w:r>
              <w:rPr>
                <w:sz w:val="20"/>
              </w:rPr>
              <w:t xml:space="preserve"> is defined. Some </w:t>
            </w:r>
            <w:r w:rsidR="008E3D3E">
              <w:rPr>
                <w:sz w:val="20"/>
              </w:rPr>
              <w:t xml:space="preserve">outcomes </w:t>
            </w:r>
            <w:r>
              <w:rPr>
                <w:sz w:val="20"/>
              </w:rPr>
              <w:t>have been studied using scoring systems longitudinally</w:t>
            </w:r>
            <w:r w:rsidR="008E3D3E">
              <w:rPr>
                <w:sz w:val="20"/>
              </w:rPr>
              <w:t>,</w:t>
            </w:r>
            <w:r>
              <w:rPr>
                <w:sz w:val="20"/>
              </w:rPr>
              <w:t xml:space="preserve"> but many benefit </w:t>
            </w:r>
            <w:r w:rsidR="008E3D3E">
              <w:rPr>
                <w:sz w:val="20"/>
              </w:rPr>
              <w:t>outcomes</w:t>
            </w:r>
            <w:r>
              <w:rPr>
                <w:sz w:val="20"/>
              </w:rPr>
              <w:t xml:space="preserve"> will be difficult to separate individual treatments. Risk</w:t>
            </w:r>
            <w:r w:rsidR="008E3D3E">
              <w:rPr>
                <w:sz w:val="20"/>
              </w:rPr>
              <w:t>s</w:t>
            </w:r>
            <w:r>
              <w:rPr>
                <w:sz w:val="20"/>
              </w:rPr>
              <w:t xml:space="preserve"> should be studied in conjunction with the big safety databases.</w:t>
            </w:r>
          </w:p>
        </w:tc>
      </w:tr>
      <w:tr w:rsidR="00BC60B0" w:rsidRPr="00E2582E" w14:paraId="7E88B430" w14:textId="77777777" w:rsidTr="00410DF6">
        <w:trPr>
          <w:cantSplit/>
          <w:trHeight w:val="228"/>
        </w:trPr>
        <w:tc>
          <w:tcPr>
            <w:tcW w:w="1804" w:type="dxa"/>
            <w:tcBorders>
              <w:top w:val="single" w:sz="4" w:space="0" w:color="auto"/>
            </w:tcBorders>
          </w:tcPr>
          <w:p w14:paraId="6B57FD4D" w14:textId="4AD9F41E" w:rsidR="00BC60B0" w:rsidRDefault="00BC60B0" w:rsidP="0044012A">
            <w:pPr>
              <w:jc w:val="center"/>
              <w:rPr>
                <w:sz w:val="20"/>
              </w:rPr>
            </w:pPr>
            <w:r>
              <w:rPr>
                <w:sz w:val="20"/>
              </w:rPr>
              <w:t>15</w:t>
            </w:r>
          </w:p>
        </w:tc>
        <w:tc>
          <w:tcPr>
            <w:tcW w:w="1805" w:type="dxa"/>
            <w:tcBorders>
              <w:top w:val="single" w:sz="4" w:space="0" w:color="auto"/>
            </w:tcBorders>
          </w:tcPr>
          <w:p w14:paraId="299D5E0C" w14:textId="100172B9" w:rsidR="00BC60B0" w:rsidRDefault="00BC60B0">
            <w:pPr>
              <w:rPr>
                <w:sz w:val="20"/>
              </w:rPr>
            </w:pPr>
            <w:r>
              <w:rPr>
                <w:sz w:val="20"/>
              </w:rPr>
              <w:t>General</w:t>
            </w:r>
          </w:p>
        </w:tc>
        <w:tc>
          <w:tcPr>
            <w:tcW w:w="1804" w:type="dxa"/>
            <w:tcBorders>
              <w:top w:val="single" w:sz="4" w:space="0" w:color="auto"/>
            </w:tcBorders>
          </w:tcPr>
          <w:p w14:paraId="152DBB91" w14:textId="77777777" w:rsidR="00BC60B0" w:rsidRDefault="00BC60B0">
            <w:pPr>
              <w:rPr>
                <w:sz w:val="20"/>
              </w:rPr>
            </w:pPr>
          </w:p>
        </w:tc>
        <w:tc>
          <w:tcPr>
            <w:tcW w:w="8770" w:type="dxa"/>
            <w:tcBorders>
              <w:top w:val="single" w:sz="4" w:space="0" w:color="auto"/>
            </w:tcBorders>
          </w:tcPr>
          <w:p w14:paraId="16816EEA" w14:textId="411B3C5A" w:rsidR="00BC60B0" w:rsidRDefault="00BC60B0">
            <w:pPr>
              <w:rPr>
                <w:sz w:val="20"/>
              </w:rPr>
            </w:pPr>
            <w:r>
              <w:rPr>
                <w:sz w:val="20"/>
              </w:rPr>
              <w:t xml:space="preserve">Information for specialist services needs to be reinforced </w:t>
            </w:r>
            <w:proofErr w:type="spellStart"/>
            <w:r>
              <w:rPr>
                <w:sz w:val="20"/>
              </w:rPr>
              <w:t>throught</w:t>
            </w:r>
            <w:proofErr w:type="spellEnd"/>
            <w:r>
              <w:rPr>
                <w:sz w:val="20"/>
              </w:rPr>
              <w:t xml:space="preserve"> the document.</w:t>
            </w:r>
          </w:p>
        </w:tc>
      </w:tr>
    </w:tbl>
    <w:p w14:paraId="605569B9" w14:textId="77777777" w:rsidR="001A1D8A" w:rsidRPr="00A71026" w:rsidRDefault="00676CE4">
      <w:pPr>
        <w:rPr>
          <w:sz w:val="20"/>
        </w:rPr>
      </w:pPr>
      <w:r w:rsidRPr="00A71026">
        <w:rPr>
          <w:sz w:val="20"/>
        </w:rPr>
        <w:t>Add extra rows if needed</w:t>
      </w:r>
    </w:p>
    <w:p w14:paraId="47C5C78E" w14:textId="77777777" w:rsidR="00676CE4" w:rsidRDefault="00676CE4">
      <w:pPr>
        <w:rPr>
          <w:sz w:val="20"/>
        </w:rPr>
      </w:pPr>
    </w:p>
    <w:p w14:paraId="09857B44"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049AE321" w14:textId="77777777" w:rsidTr="0022485E">
        <w:tc>
          <w:tcPr>
            <w:tcW w:w="14312" w:type="dxa"/>
            <w:shd w:val="clear" w:color="auto" w:fill="auto"/>
          </w:tcPr>
          <w:p w14:paraId="60D689A9" w14:textId="77777777" w:rsidR="00676CE4" w:rsidRPr="00BA770A" w:rsidRDefault="00676CE4" w:rsidP="00676CE4">
            <w:pPr>
              <w:rPr>
                <w:b/>
                <w:sz w:val="24"/>
                <w:szCs w:val="24"/>
              </w:rPr>
            </w:pPr>
            <w:r w:rsidRPr="00BA770A">
              <w:rPr>
                <w:b/>
                <w:sz w:val="24"/>
                <w:szCs w:val="24"/>
              </w:rPr>
              <w:t>Checklist for submitting comments</w:t>
            </w:r>
          </w:p>
          <w:p w14:paraId="216C0DCF"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495A89E0"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316841C0"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7AF2165"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64A0CD78"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7F77420"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3B2EA8F2"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08142409"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07B711C3"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15312AED" w14:textId="77777777" w:rsidR="00676CE4" w:rsidRPr="0022485E" w:rsidRDefault="0022485E" w:rsidP="0087564F">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1A488BB5"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C246EC6" w14:textId="77777777" w:rsidR="00A71026" w:rsidRPr="00A71026" w:rsidRDefault="00A71026" w:rsidP="00676CE4">
            <w:pPr>
              <w:rPr>
                <w:sz w:val="24"/>
                <w:szCs w:val="24"/>
              </w:rPr>
            </w:pPr>
          </w:p>
          <w:p w14:paraId="4CBAA1D5"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EDF449E"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46582BE1" w14:textId="77777777" w:rsidR="0022485E" w:rsidRDefault="0022485E" w:rsidP="00A71026">
            <w:pPr>
              <w:rPr>
                <w:rFonts w:cs="Arial"/>
                <w:bCs/>
                <w:sz w:val="24"/>
                <w:szCs w:val="24"/>
              </w:rPr>
            </w:pPr>
          </w:p>
          <w:p w14:paraId="3F981F58"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49F74D2F"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2F58D23A" w14:textId="77777777" w:rsidR="0022485E" w:rsidRPr="0022485E" w:rsidRDefault="0022485E" w:rsidP="0022485E">
            <w:pPr>
              <w:widowControl w:val="0"/>
              <w:spacing w:line="288" w:lineRule="atLeast"/>
              <w:outlineLvl w:val="3"/>
              <w:rPr>
                <w:rStyle w:val="Emphasis"/>
                <w:rFonts w:cs="Arial"/>
                <w:i w:val="0"/>
                <w:iCs w:val="0"/>
                <w:sz w:val="24"/>
                <w:szCs w:val="24"/>
              </w:rPr>
            </w:pPr>
          </w:p>
          <w:p w14:paraId="7D85BFDA"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By submitting your data via this form you are confirming that you have read and understood this statement.</w:t>
            </w:r>
          </w:p>
          <w:p w14:paraId="0F1E04A9" w14:textId="77777777" w:rsidR="0022485E" w:rsidRPr="0022485E" w:rsidRDefault="0022485E" w:rsidP="0022485E">
            <w:pPr>
              <w:widowControl w:val="0"/>
              <w:spacing w:line="288" w:lineRule="atLeast"/>
              <w:outlineLvl w:val="3"/>
              <w:rPr>
                <w:rStyle w:val="Emphasis"/>
                <w:rFonts w:cs="Arial"/>
                <w:i w:val="0"/>
                <w:iCs w:val="0"/>
                <w:sz w:val="24"/>
              </w:rPr>
            </w:pPr>
          </w:p>
          <w:p w14:paraId="0DA5819E"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216A430C" w14:textId="77777777" w:rsidR="0022485E" w:rsidRPr="009A4A5A" w:rsidRDefault="0022485E" w:rsidP="00A71026">
            <w:pPr>
              <w:rPr>
                <w:sz w:val="20"/>
              </w:rPr>
            </w:pPr>
          </w:p>
        </w:tc>
      </w:tr>
    </w:tbl>
    <w:p w14:paraId="45080C34"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AB8D" w14:textId="77777777" w:rsidR="00DC20B5" w:rsidRDefault="00DC20B5" w:rsidP="00E66C63">
      <w:r>
        <w:separator/>
      </w:r>
    </w:p>
  </w:endnote>
  <w:endnote w:type="continuationSeparator" w:id="0">
    <w:p w14:paraId="6A4B4801" w14:textId="77777777" w:rsidR="00DC20B5" w:rsidRDefault="00DC20B5" w:rsidP="00E66C63">
      <w:r>
        <w:continuationSeparator/>
      </w:r>
    </w:p>
  </w:endnote>
  <w:endnote w:type="continuationNotice" w:id="1">
    <w:p w14:paraId="20054E10" w14:textId="77777777" w:rsidR="00DC20B5" w:rsidRDefault="00DC2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96FF" w14:textId="77777777" w:rsidR="00EE477E" w:rsidRDefault="00EE477E" w:rsidP="00EE477E">
    <w:pPr>
      <w:rPr>
        <w:sz w:val="18"/>
      </w:rPr>
    </w:pPr>
    <w:r>
      <w:rPr>
        <w:sz w:val="18"/>
      </w:rPr>
      <w:t>Please add extra rows as needed</w:t>
    </w:r>
  </w:p>
  <w:p w14:paraId="66547CDE" w14:textId="77777777" w:rsidR="00EE477E" w:rsidRDefault="00EE477E" w:rsidP="00EE477E">
    <w:pPr>
      <w:tabs>
        <w:tab w:val="left" w:pos="5565"/>
      </w:tabs>
      <w:rPr>
        <w:sz w:val="18"/>
      </w:rPr>
    </w:pPr>
    <w:r>
      <w:rPr>
        <w:sz w:val="18"/>
      </w:rPr>
      <w:tab/>
    </w:r>
  </w:p>
  <w:p w14:paraId="52472E62" w14:textId="77777777" w:rsidR="00E66C63" w:rsidRPr="00EE477E" w:rsidRDefault="00EE477E" w:rsidP="0022485E">
    <w:r>
      <w:rPr>
        <w:szCs w:val="22"/>
      </w:rPr>
      <w:t>Please return to:</w:t>
    </w:r>
    <w:r>
      <w:t xml:space="preserve"> </w:t>
    </w:r>
    <w:hyperlink r:id="rId1" w:history="1">
      <w:r w:rsidR="005D20FC" w:rsidRPr="00056C22">
        <w:rPr>
          <w:rStyle w:val="Hyperlink"/>
        </w:rPr>
        <w:t>Menopause@nice.org.uk</w:t>
      </w:r>
    </w:hyperlink>
    <w:r w:rsidR="005D20F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E852" w14:textId="77777777" w:rsidR="00DC20B5" w:rsidRDefault="00DC20B5" w:rsidP="00E66C63">
      <w:r>
        <w:separator/>
      </w:r>
    </w:p>
  </w:footnote>
  <w:footnote w:type="continuationSeparator" w:id="0">
    <w:p w14:paraId="544DEB23" w14:textId="77777777" w:rsidR="00DC20B5" w:rsidRDefault="00DC20B5" w:rsidP="00E66C63">
      <w:r>
        <w:continuationSeparator/>
      </w:r>
    </w:p>
  </w:footnote>
  <w:footnote w:type="continuationNotice" w:id="1">
    <w:p w14:paraId="2F47395C" w14:textId="77777777" w:rsidR="00DC20B5" w:rsidRDefault="00DC2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B456" w14:textId="77777777" w:rsidR="005D20FC" w:rsidRDefault="005D20FC" w:rsidP="005D20FC">
    <w:pPr>
      <w:pStyle w:val="Heading3"/>
      <w:ind w:right="-359"/>
      <w:jc w:val="left"/>
      <w:rPr>
        <w:bCs w:val="0"/>
        <w:sz w:val="28"/>
        <w:szCs w:val="28"/>
      </w:rPr>
    </w:pPr>
  </w:p>
  <w:p w14:paraId="174A0297" w14:textId="3A70D48E" w:rsidR="005D20FC" w:rsidRDefault="004A7DCC" w:rsidP="005D20FC">
    <w:pPr>
      <w:pStyle w:val="Heading3"/>
      <w:ind w:right="-359"/>
      <w:jc w:val="right"/>
      <w:rPr>
        <w:bCs w:val="0"/>
        <w:sz w:val="28"/>
        <w:szCs w:val="28"/>
      </w:rPr>
    </w:pPr>
    <w:r w:rsidRPr="00E3050B">
      <w:rPr>
        <w:noProof/>
        <w:lang w:eastAsia="en-GB"/>
      </w:rPr>
      <w:drawing>
        <wp:inline distT="0" distB="0" distL="0" distR="0" wp14:anchorId="6ADCD46E" wp14:editId="4810754D">
          <wp:extent cx="2968625"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625" cy="285750"/>
                  </a:xfrm>
                  <a:prstGeom prst="rect">
                    <a:avLst/>
                  </a:prstGeom>
                  <a:noFill/>
                  <a:ln>
                    <a:noFill/>
                  </a:ln>
                </pic:spPr>
              </pic:pic>
            </a:graphicData>
          </a:graphic>
        </wp:inline>
      </w:drawing>
    </w:r>
  </w:p>
  <w:p w14:paraId="0D5208F1" w14:textId="77777777" w:rsidR="00B94F71" w:rsidRPr="005D20FC" w:rsidRDefault="00F738C0" w:rsidP="005D20FC">
    <w:pPr>
      <w:pStyle w:val="Heading3"/>
      <w:ind w:right="-359"/>
      <w:jc w:val="left"/>
      <w:rPr>
        <w:bCs w:val="0"/>
        <w:sz w:val="28"/>
        <w:szCs w:val="28"/>
      </w:rPr>
    </w:pPr>
    <w:r w:rsidRPr="00F738C0">
      <w:rPr>
        <w:bCs w:val="0"/>
        <w:sz w:val="28"/>
        <w:szCs w:val="28"/>
      </w:rPr>
      <w:t>Menopause: diagnosis and management</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1F2DADDD" w14:textId="77777777" w:rsidR="00777433" w:rsidRPr="005D20FC" w:rsidRDefault="00B94F71">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F738C0">
      <w:rPr>
        <w:bCs/>
        <w:u w:val="single"/>
      </w:rPr>
      <w:t>Tuesday 8</w:t>
    </w:r>
    <w:r w:rsidR="00F738C0" w:rsidRPr="00F738C0">
      <w:rPr>
        <w:bCs/>
        <w:u w:val="single"/>
        <w:vertAlign w:val="superscript"/>
      </w:rPr>
      <w:t>th</w:t>
    </w:r>
    <w:r w:rsidR="00F738C0">
      <w:rPr>
        <w:bCs/>
        <w:u w:val="single"/>
      </w:rPr>
      <w:t xml:space="preserve"> March 2022</w:t>
    </w:r>
  </w:p>
  <w:p w14:paraId="3673C67C" w14:textId="77777777" w:rsidR="00777433" w:rsidRPr="005D20FC" w:rsidRDefault="00F738C0">
    <w:pPr>
      <w:pStyle w:val="Header"/>
      <w:rPr>
        <w:bCs/>
        <w:u w:val="single"/>
      </w:rPr>
    </w:pPr>
    <w:r>
      <w:rPr>
        <w:b/>
        <w:bCs/>
      </w:rPr>
      <w:t>E</w:t>
    </w:r>
    <w:r w:rsidR="00123009" w:rsidRPr="00F738C0">
      <w:rPr>
        <w:b/>
        <w:bCs/>
      </w:rPr>
      <w:t>mail</w:t>
    </w:r>
    <w:r w:rsidR="00123009" w:rsidRPr="00F738C0">
      <w:rPr>
        <w:bCs/>
      </w:rPr>
      <w:t>:</w:t>
    </w:r>
    <w:r w:rsidR="00777433">
      <w:rPr>
        <w:bCs/>
        <w:u w:val="single"/>
      </w:rPr>
      <w:t xml:space="preserve"> </w:t>
    </w:r>
    <w:hyperlink r:id="rId2" w:history="1">
      <w:r w:rsidRPr="00056C22">
        <w:rPr>
          <w:rStyle w:val="Hyperlink"/>
          <w:bCs/>
        </w:rPr>
        <w:t>Menopause@nice.org.uk</w:t>
      </w:r>
    </w:hyperlink>
    <w:r>
      <w:rPr>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6E"/>
    <w:rsid w:val="00020672"/>
    <w:rsid w:val="000431A5"/>
    <w:rsid w:val="00055695"/>
    <w:rsid w:val="00056221"/>
    <w:rsid w:val="00064B5F"/>
    <w:rsid w:val="0006754A"/>
    <w:rsid w:val="00072D10"/>
    <w:rsid w:val="00080388"/>
    <w:rsid w:val="00093436"/>
    <w:rsid w:val="000D4EA3"/>
    <w:rsid w:val="000D7B25"/>
    <w:rsid w:val="000E466E"/>
    <w:rsid w:val="00110B75"/>
    <w:rsid w:val="00111270"/>
    <w:rsid w:val="00123009"/>
    <w:rsid w:val="001338E7"/>
    <w:rsid w:val="0013421F"/>
    <w:rsid w:val="00150032"/>
    <w:rsid w:val="0015556A"/>
    <w:rsid w:val="0016536F"/>
    <w:rsid w:val="00184246"/>
    <w:rsid w:val="00186565"/>
    <w:rsid w:val="00190008"/>
    <w:rsid w:val="00197F8A"/>
    <w:rsid w:val="001A1D8A"/>
    <w:rsid w:val="001B3A29"/>
    <w:rsid w:val="001C36CE"/>
    <w:rsid w:val="001D149C"/>
    <w:rsid w:val="001D435B"/>
    <w:rsid w:val="001F1201"/>
    <w:rsid w:val="001F52A7"/>
    <w:rsid w:val="0020118C"/>
    <w:rsid w:val="00215BC8"/>
    <w:rsid w:val="0022485E"/>
    <w:rsid w:val="002321A9"/>
    <w:rsid w:val="00241ECE"/>
    <w:rsid w:val="00254412"/>
    <w:rsid w:val="00260317"/>
    <w:rsid w:val="002606E0"/>
    <w:rsid w:val="00270E11"/>
    <w:rsid w:val="00274768"/>
    <w:rsid w:val="00291821"/>
    <w:rsid w:val="00292BEB"/>
    <w:rsid w:val="00295611"/>
    <w:rsid w:val="00295923"/>
    <w:rsid w:val="002B2909"/>
    <w:rsid w:val="002B5133"/>
    <w:rsid w:val="002D51BE"/>
    <w:rsid w:val="002E1D30"/>
    <w:rsid w:val="002E3A84"/>
    <w:rsid w:val="002E746C"/>
    <w:rsid w:val="002F0372"/>
    <w:rsid w:val="002F0BAA"/>
    <w:rsid w:val="00313896"/>
    <w:rsid w:val="003159A9"/>
    <w:rsid w:val="003709A6"/>
    <w:rsid w:val="00376A05"/>
    <w:rsid w:val="003A7831"/>
    <w:rsid w:val="003C22B2"/>
    <w:rsid w:val="003E5312"/>
    <w:rsid w:val="003E6597"/>
    <w:rsid w:val="00410DCD"/>
    <w:rsid w:val="00410DF6"/>
    <w:rsid w:val="004358E1"/>
    <w:rsid w:val="0044012A"/>
    <w:rsid w:val="00441F40"/>
    <w:rsid w:val="00445C1F"/>
    <w:rsid w:val="00447B7B"/>
    <w:rsid w:val="00467D9B"/>
    <w:rsid w:val="0048565B"/>
    <w:rsid w:val="004A2E83"/>
    <w:rsid w:val="004A4F08"/>
    <w:rsid w:val="004A7DCC"/>
    <w:rsid w:val="004B69F4"/>
    <w:rsid w:val="004C2603"/>
    <w:rsid w:val="004D4F42"/>
    <w:rsid w:val="00524764"/>
    <w:rsid w:val="0053265B"/>
    <w:rsid w:val="00563A3F"/>
    <w:rsid w:val="00573DCC"/>
    <w:rsid w:val="00577421"/>
    <w:rsid w:val="00581E8F"/>
    <w:rsid w:val="005836AD"/>
    <w:rsid w:val="005921C4"/>
    <w:rsid w:val="005B4404"/>
    <w:rsid w:val="005D19AE"/>
    <w:rsid w:val="005D20FC"/>
    <w:rsid w:val="005E29DF"/>
    <w:rsid w:val="00615426"/>
    <w:rsid w:val="00622B04"/>
    <w:rsid w:val="0063082B"/>
    <w:rsid w:val="006311B9"/>
    <w:rsid w:val="00635FFB"/>
    <w:rsid w:val="00640833"/>
    <w:rsid w:val="0064140E"/>
    <w:rsid w:val="00643AC4"/>
    <w:rsid w:val="00674BCA"/>
    <w:rsid w:val="006756D8"/>
    <w:rsid w:val="00676CE4"/>
    <w:rsid w:val="006777EA"/>
    <w:rsid w:val="006A066C"/>
    <w:rsid w:val="006C7266"/>
    <w:rsid w:val="006E6036"/>
    <w:rsid w:val="006F43E2"/>
    <w:rsid w:val="00704BD1"/>
    <w:rsid w:val="00707F79"/>
    <w:rsid w:val="007253AF"/>
    <w:rsid w:val="00732EE3"/>
    <w:rsid w:val="00745C95"/>
    <w:rsid w:val="00747463"/>
    <w:rsid w:val="00751EC5"/>
    <w:rsid w:val="00772D5C"/>
    <w:rsid w:val="00773D5C"/>
    <w:rsid w:val="00777433"/>
    <w:rsid w:val="007929C6"/>
    <w:rsid w:val="007A5F7A"/>
    <w:rsid w:val="007B0448"/>
    <w:rsid w:val="007B74CB"/>
    <w:rsid w:val="007E6716"/>
    <w:rsid w:val="007F46FB"/>
    <w:rsid w:val="007F48B8"/>
    <w:rsid w:val="00807517"/>
    <w:rsid w:val="00861041"/>
    <w:rsid w:val="0087502A"/>
    <w:rsid w:val="0087564F"/>
    <w:rsid w:val="008855FD"/>
    <w:rsid w:val="008C1751"/>
    <w:rsid w:val="008D7B9E"/>
    <w:rsid w:val="008E3D3E"/>
    <w:rsid w:val="008E6E74"/>
    <w:rsid w:val="008F4F3D"/>
    <w:rsid w:val="008F7181"/>
    <w:rsid w:val="009119E3"/>
    <w:rsid w:val="00914F46"/>
    <w:rsid w:val="00922EF8"/>
    <w:rsid w:val="00925A25"/>
    <w:rsid w:val="0092616D"/>
    <w:rsid w:val="009274DC"/>
    <w:rsid w:val="00944447"/>
    <w:rsid w:val="00966992"/>
    <w:rsid w:val="00970572"/>
    <w:rsid w:val="00974E13"/>
    <w:rsid w:val="00982FA8"/>
    <w:rsid w:val="00992358"/>
    <w:rsid w:val="009A4A5A"/>
    <w:rsid w:val="009B04FE"/>
    <w:rsid w:val="009D3052"/>
    <w:rsid w:val="009E1ECE"/>
    <w:rsid w:val="009E6E3E"/>
    <w:rsid w:val="009F0503"/>
    <w:rsid w:val="00A054D7"/>
    <w:rsid w:val="00A06E6A"/>
    <w:rsid w:val="00A166D3"/>
    <w:rsid w:val="00A31B42"/>
    <w:rsid w:val="00A45E86"/>
    <w:rsid w:val="00A71026"/>
    <w:rsid w:val="00A75849"/>
    <w:rsid w:val="00A812B3"/>
    <w:rsid w:val="00A81964"/>
    <w:rsid w:val="00A96262"/>
    <w:rsid w:val="00AA3AD7"/>
    <w:rsid w:val="00AA688C"/>
    <w:rsid w:val="00AB0DB5"/>
    <w:rsid w:val="00AD4CA3"/>
    <w:rsid w:val="00AF78D8"/>
    <w:rsid w:val="00B0014E"/>
    <w:rsid w:val="00B070BA"/>
    <w:rsid w:val="00B07715"/>
    <w:rsid w:val="00B45B8B"/>
    <w:rsid w:val="00B62438"/>
    <w:rsid w:val="00B72EDF"/>
    <w:rsid w:val="00B94F71"/>
    <w:rsid w:val="00BA6D71"/>
    <w:rsid w:val="00BA770A"/>
    <w:rsid w:val="00BB426A"/>
    <w:rsid w:val="00BC3298"/>
    <w:rsid w:val="00BC41AA"/>
    <w:rsid w:val="00BC4C2F"/>
    <w:rsid w:val="00BC60B0"/>
    <w:rsid w:val="00BD58BC"/>
    <w:rsid w:val="00BD67B0"/>
    <w:rsid w:val="00BD7D96"/>
    <w:rsid w:val="00C00B19"/>
    <w:rsid w:val="00C012DD"/>
    <w:rsid w:val="00C047D9"/>
    <w:rsid w:val="00C11187"/>
    <w:rsid w:val="00C41218"/>
    <w:rsid w:val="00C46708"/>
    <w:rsid w:val="00C53F9B"/>
    <w:rsid w:val="00C634F4"/>
    <w:rsid w:val="00C772B4"/>
    <w:rsid w:val="00C77522"/>
    <w:rsid w:val="00C852DC"/>
    <w:rsid w:val="00C97473"/>
    <w:rsid w:val="00CA197E"/>
    <w:rsid w:val="00D007DC"/>
    <w:rsid w:val="00D13542"/>
    <w:rsid w:val="00D37716"/>
    <w:rsid w:val="00D43A6C"/>
    <w:rsid w:val="00D64BD2"/>
    <w:rsid w:val="00D664E9"/>
    <w:rsid w:val="00D77146"/>
    <w:rsid w:val="00D918EC"/>
    <w:rsid w:val="00D97A57"/>
    <w:rsid w:val="00DA48EA"/>
    <w:rsid w:val="00DA7755"/>
    <w:rsid w:val="00DC20B5"/>
    <w:rsid w:val="00DC5C0D"/>
    <w:rsid w:val="00DE2B8C"/>
    <w:rsid w:val="00DF0D3A"/>
    <w:rsid w:val="00E00EED"/>
    <w:rsid w:val="00E071B1"/>
    <w:rsid w:val="00E17881"/>
    <w:rsid w:val="00E248E8"/>
    <w:rsid w:val="00E2582E"/>
    <w:rsid w:val="00E33ECB"/>
    <w:rsid w:val="00E361BE"/>
    <w:rsid w:val="00E440ED"/>
    <w:rsid w:val="00E539B5"/>
    <w:rsid w:val="00E559A9"/>
    <w:rsid w:val="00E645B5"/>
    <w:rsid w:val="00E66C63"/>
    <w:rsid w:val="00E748A8"/>
    <w:rsid w:val="00E750C6"/>
    <w:rsid w:val="00E7516B"/>
    <w:rsid w:val="00EA296F"/>
    <w:rsid w:val="00EA2EC5"/>
    <w:rsid w:val="00EB630F"/>
    <w:rsid w:val="00EC500C"/>
    <w:rsid w:val="00EE477E"/>
    <w:rsid w:val="00EE581E"/>
    <w:rsid w:val="00EE7CD8"/>
    <w:rsid w:val="00EF30D0"/>
    <w:rsid w:val="00F118AA"/>
    <w:rsid w:val="00F14F2E"/>
    <w:rsid w:val="00F36669"/>
    <w:rsid w:val="00F510F0"/>
    <w:rsid w:val="00F54E18"/>
    <w:rsid w:val="00F738C0"/>
    <w:rsid w:val="00F76F58"/>
    <w:rsid w:val="00F77282"/>
    <w:rsid w:val="00F77D19"/>
    <w:rsid w:val="00F86623"/>
    <w:rsid w:val="00FA58D0"/>
    <w:rsid w:val="00FA6C5A"/>
    <w:rsid w:val="00FC1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EF2FD"/>
  <w15:chartTrackingRefBased/>
  <w15:docId w15:val="{2C267218-950D-4D71-8666-1F09D82A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uiPriority w:val="99"/>
    <w:semiHidden/>
    <w:unhideWhenUsed/>
    <w:rsid w:val="00F73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enopaus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enopaus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9410</CharactersWithSpaces>
  <SharedDoc>false</SharedDoc>
  <HLinks>
    <vt:vector size="24" baseType="variant">
      <vt:variant>
        <vt:i4>4128812</vt:i4>
      </vt:variant>
      <vt:variant>
        <vt:i4>3</vt:i4>
      </vt:variant>
      <vt:variant>
        <vt:i4>0</vt:i4>
      </vt:variant>
      <vt:variant>
        <vt:i4>5</vt:i4>
      </vt:variant>
      <vt:variant>
        <vt:lpwstr>https://www.nice.org.uk/privacy-notice</vt:lpwstr>
      </vt:variant>
      <vt:variant>
        <vt:lpwstr/>
      </vt:variant>
      <vt:variant>
        <vt:i4>6619232</vt:i4>
      </vt:variant>
      <vt:variant>
        <vt:i4>0</vt:i4>
      </vt:variant>
      <vt:variant>
        <vt:i4>0</vt:i4>
      </vt:variant>
      <vt:variant>
        <vt:i4>5</vt:i4>
      </vt:variant>
      <vt:variant>
        <vt:lpwstr>https://www.nice.org.uk/process/pmg22/chapter/introduction</vt:lpwstr>
      </vt:variant>
      <vt:variant>
        <vt:lpwstr/>
      </vt:variant>
      <vt:variant>
        <vt:i4>1376355</vt:i4>
      </vt:variant>
      <vt:variant>
        <vt:i4>3</vt:i4>
      </vt:variant>
      <vt:variant>
        <vt:i4>0</vt:i4>
      </vt:variant>
      <vt:variant>
        <vt:i4>5</vt:i4>
      </vt:variant>
      <vt:variant>
        <vt:lpwstr>mailto:Menopause@nice.org.uk</vt:lpwstr>
      </vt:variant>
      <vt:variant>
        <vt:lpwstr/>
      </vt:variant>
      <vt:variant>
        <vt:i4>1376355</vt:i4>
      </vt:variant>
      <vt:variant>
        <vt:i4>0</vt:i4>
      </vt:variant>
      <vt:variant>
        <vt:i4>0</vt:i4>
      </vt:variant>
      <vt:variant>
        <vt:i4>5</vt:i4>
      </vt:variant>
      <vt:variant>
        <vt:lpwstr>mailto:Menopause@nice.org.uk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Sharonjeet Chohan</dc:creator>
  <cp:keywords/>
  <cp:lastModifiedBy>Flic Gabbay</cp:lastModifiedBy>
  <cp:revision>26</cp:revision>
  <cp:lastPrinted>2014-03-26T12:19:00Z</cp:lastPrinted>
  <dcterms:created xsi:type="dcterms:W3CDTF">2022-03-09T16:21:00Z</dcterms:created>
  <dcterms:modified xsi:type="dcterms:W3CDTF">2022-03-09T16:48:00Z</dcterms:modified>
</cp:coreProperties>
</file>