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7033"/>
        <w:gridCol w:w="2748"/>
      </w:tblGrid>
      <w:tr w:rsidR="00DB12A7" w14:paraId="57227D1D" w14:textId="77777777" w:rsidTr="005F70ED">
        <w:trPr>
          <w:trHeight w:val="2268"/>
        </w:trPr>
        <w:tc>
          <w:tcPr>
            <w:tcW w:w="7033" w:type="dxa"/>
            <w:tcMar>
              <w:left w:w="0" w:type="dxa"/>
              <w:right w:w="0" w:type="dxa"/>
            </w:tcMar>
          </w:tcPr>
          <w:p w14:paraId="7ED9251F" w14:textId="77777777" w:rsidR="008C59B1" w:rsidRPr="00C32C96" w:rsidRDefault="008C59B1" w:rsidP="009C7228">
            <w:pPr>
              <w:pStyle w:val="Heading3"/>
              <w:rPr>
                <w:rStyle w:val="Emphasis"/>
              </w:rPr>
            </w:pPr>
          </w:p>
          <w:p w14:paraId="6B72242C" w14:textId="77777777" w:rsidR="00DB12A7" w:rsidRPr="008C59B1" w:rsidRDefault="008C59B1" w:rsidP="008C59B1">
            <w:pPr>
              <w:tabs>
                <w:tab w:val="left" w:pos="4873"/>
              </w:tabs>
            </w:pPr>
            <w:r>
              <w:tab/>
            </w:r>
          </w:p>
        </w:tc>
        <w:tc>
          <w:tcPr>
            <w:tcW w:w="2748" w:type="dxa"/>
          </w:tcPr>
          <w:p w14:paraId="14E2AD63" w14:textId="77777777" w:rsidR="00DB12A7" w:rsidRDefault="00DB12A7" w:rsidP="003E4806">
            <w:pPr>
              <w:pStyle w:val="GMCNumberheadingstyle"/>
              <w:jc w:val="center"/>
            </w:pPr>
          </w:p>
        </w:tc>
      </w:tr>
    </w:tbl>
    <w:p w14:paraId="23F49556" w14:textId="17F5FF5C" w:rsidR="005F70ED" w:rsidRDefault="005F70ED" w:rsidP="005F70ED">
      <w:pPr>
        <w:pStyle w:val="Heading1"/>
      </w:pPr>
      <w:r w:rsidRPr="00EC472C">
        <w:rPr>
          <w:i/>
          <w:iCs/>
        </w:rPr>
        <w:t>Good medical practice</w:t>
      </w:r>
      <w:r>
        <w:t>: public consultation on core guidance on professional standards</w:t>
      </w:r>
    </w:p>
    <w:p w14:paraId="7911D8AF" w14:textId="52C8829D" w:rsidR="005F70ED" w:rsidRDefault="000D60CE" w:rsidP="005F70ED">
      <w:pPr>
        <w:pStyle w:val="Heading2"/>
      </w:pPr>
      <w:bookmarkStart w:id="0" w:name="_Hlk97046164"/>
      <w:r>
        <w:t>S</w:t>
      </w:r>
      <w:r w:rsidR="005F70ED">
        <w:t>urvey for organisations and individuals acting in a professional capacity</w:t>
      </w:r>
    </w:p>
    <w:bookmarkEnd w:id="0"/>
    <w:p w14:paraId="3CB2A69D" w14:textId="06AAA327" w:rsidR="005F70ED" w:rsidRDefault="005F70ED" w:rsidP="005F70ED">
      <w:pPr>
        <w:pStyle w:val="Heading3"/>
      </w:pPr>
      <w:r w:rsidRPr="008B0C1B">
        <w:t>Consultation runs: 2</w:t>
      </w:r>
      <w:r w:rsidR="0065760A">
        <w:t>7</w:t>
      </w:r>
      <w:r w:rsidRPr="008B0C1B">
        <w:t xml:space="preserve"> April – 20 July 2022</w:t>
      </w:r>
    </w:p>
    <w:p w14:paraId="6126ACAE" w14:textId="7C27F525" w:rsidR="0023757D" w:rsidRDefault="0023757D" w:rsidP="008B0C91">
      <w:pPr>
        <w:pStyle w:val="Heading1"/>
      </w:pPr>
    </w:p>
    <w:p w14:paraId="2246B95E" w14:textId="2CAEA463" w:rsidR="005F70ED" w:rsidRDefault="005F70ED">
      <w:pPr>
        <w:spacing w:after="0" w:line="240" w:lineRule="auto"/>
        <w:rPr>
          <w:bCs/>
          <w:iCs/>
          <w:color w:val="00377B"/>
          <w:kern w:val="32"/>
          <w:sz w:val="32"/>
          <w:szCs w:val="28"/>
        </w:rPr>
      </w:pPr>
      <w:r>
        <w:rPr>
          <w:bCs/>
          <w:iCs/>
          <w:color w:val="00377B"/>
          <w:kern w:val="32"/>
          <w:sz w:val="32"/>
          <w:szCs w:val="28"/>
        </w:rPr>
        <w:br w:type="page"/>
      </w:r>
    </w:p>
    <w:p w14:paraId="64C648D1" w14:textId="77777777" w:rsidR="005F70ED" w:rsidRDefault="005F70ED" w:rsidP="005F70ED">
      <w:pPr>
        <w:pStyle w:val="Heading1"/>
      </w:pPr>
      <w:r>
        <w:lastRenderedPageBreak/>
        <w:t xml:space="preserve">Consultation summary </w:t>
      </w:r>
    </w:p>
    <w:p w14:paraId="25E4568A" w14:textId="77777777" w:rsidR="005F70ED" w:rsidRPr="00C70485" w:rsidRDefault="005F70ED" w:rsidP="005F70ED">
      <w:pPr>
        <w:pStyle w:val="Heading2"/>
      </w:pPr>
      <w:r>
        <w:t xml:space="preserve">Share your views on </w:t>
      </w:r>
      <w:r w:rsidRPr="00A04E40">
        <w:rPr>
          <w:i/>
          <w:iCs w:val="0"/>
        </w:rPr>
        <w:t>Good medical practice</w:t>
      </w:r>
      <w:r>
        <w:t xml:space="preserve"> </w:t>
      </w:r>
    </w:p>
    <w:p w14:paraId="43D8B317" w14:textId="77777777" w:rsidR="005F70ED" w:rsidRPr="00D56C01" w:rsidRDefault="005F70ED" w:rsidP="005F70ED">
      <w:pPr>
        <w:rPr>
          <w:lang w:val="en"/>
        </w:rPr>
      </w:pPr>
      <w:r w:rsidRPr="006E15CF">
        <w:rPr>
          <w:lang w:val="en"/>
        </w:rPr>
        <w:t>We</w:t>
      </w:r>
      <w:r>
        <w:rPr>
          <w:lang w:val="en"/>
        </w:rPr>
        <w:t xml:space="preserve"> want to hear your views on the updated version of our core guidance on </w:t>
      </w:r>
      <w:r>
        <w:t xml:space="preserve">professional standards, </w:t>
      </w:r>
      <w:r w:rsidRPr="00E31BB3">
        <w:rPr>
          <w:i/>
          <w:iCs/>
        </w:rPr>
        <w:t>Good medical practice</w:t>
      </w:r>
      <w:r>
        <w:t xml:space="preserve"> (GMP). </w:t>
      </w:r>
      <w:r w:rsidRPr="00D0531F">
        <w:t>This sets out the standards of care and professional behaviour expected of all medical professionals registered with us</w:t>
      </w:r>
      <w:r>
        <w:t xml:space="preserve">. </w:t>
      </w:r>
    </w:p>
    <w:p w14:paraId="6B5B53B7" w14:textId="77777777" w:rsidR="005F70ED" w:rsidRDefault="005F70ED" w:rsidP="005F70ED">
      <w:r>
        <w:t>Our aim is for the updated guidance to support medical professionals to deliver high quality, person</w:t>
      </w:r>
      <w:r>
        <w:noBreakHyphen/>
        <w:t xml:space="preserve">centred care. We also want it to play a part in helping to create workplace cultures which are inclusive, fair, civil and compassionate for all. And it’s important for the guidance to be clear, relevant, consistent with the law across the UK and structured in a way that’s easy to use. </w:t>
      </w:r>
    </w:p>
    <w:p w14:paraId="29A795EF" w14:textId="77777777" w:rsidR="005F70ED" w:rsidRDefault="005F70ED" w:rsidP="005F70ED">
      <w:r>
        <w:t>The proposed changes are grounded in research, data and feedback on what makes healthcare settings positive places to work and safe places for patients. A group of experts from outside of the GMC have also guided our work. The GMP advisory forum brought together medical practitioners, clinical leaders, patient advocates, and experts on equality, diversity, and inclusion to help us update the guidance.</w:t>
      </w:r>
    </w:p>
    <w:p w14:paraId="4FB8D57E" w14:textId="77777777" w:rsidR="005F70ED" w:rsidRPr="00132DCC" w:rsidRDefault="005F70ED" w:rsidP="005F70ED">
      <w:pPr>
        <w:pStyle w:val="Heading2"/>
      </w:pPr>
      <w:r>
        <w:t xml:space="preserve">How to take part </w:t>
      </w:r>
    </w:p>
    <w:p w14:paraId="79325125" w14:textId="54077831" w:rsidR="006B209A" w:rsidRDefault="005F70ED" w:rsidP="005F70ED">
      <w:r>
        <w:t xml:space="preserve">We want </w:t>
      </w:r>
      <w:r w:rsidRPr="00DE6FFD">
        <w:rPr>
          <w:i/>
          <w:iCs/>
        </w:rPr>
        <w:t>Good medical practice</w:t>
      </w:r>
      <w:r>
        <w:t xml:space="preserve"> to be shaped by real experiences and be inclusive of all those who use it. So, we’ve </w:t>
      </w:r>
      <w:r w:rsidRPr="006830F7">
        <w:t xml:space="preserve">developed </w:t>
      </w:r>
      <w:r>
        <w:t xml:space="preserve">three </w:t>
      </w:r>
      <w:r w:rsidRPr="006830F7">
        <w:t xml:space="preserve">surveys to help </w:t>
      </w:r>
      <w:r>
        <w:t xml:space="preserve">a range of people share their views. </w:t>
      </w:r>
    </w:p>
    <w:p w14:paraId="3DD01706" w14:textId="049C25C8" w:rsidR="005F70ED" w:rsidRPr="008B0C1B" w:rsidRDefault="005F70ED" w:rsidP="005F70ED">
      <w:pPr>
        <w:rPr>
          <w:b/>
          <w:bCs/>
        </w:rPr>
      </w:pPr>
      <w:r w:rsidRPr="00DE6FFD">
        <w:t xml:space="preserve">This survey is for individuals or organisations with a </w:t>
      </w:r>
      <w:r w:rsidRPr="000E3106">
        <w:t>detailed</w:t>
      </w:r>
      <w:r w:rsidRPr="006830F7">
        <w:t xml:space="preserve"> working knowledge of the policy and practice around good medical practice in the UK</w:t>
      </w:r>
      <w:r>
        <w:t xml:space="preserve">. </w:t>
      </w:r>
      <w:r w:rsidRPr="008B0C1B">
        <w:rPr>
          <w:b/>
          <w:bCs/>
        </w:rPr>
        <w:t xml:space="preserve">The closing date is 20 July 2022. </w:t>
      </w:r>
    </w:p>
    <w:p w14:paraId="73100985" w14:textId="77777777" w:rsidR="005F70ED" w:rsidRPr="007116A3" w:rsidRDefault="005F70ED" w:rsidP="005F70ED">
      <w:pPr>
        <w:pStyle w:val="Heading3"/>
      </w:pPr>
      <w:bookmarkStart w:id="1" w:name="_Hlk97198153"/>
      <w:r w:rsidRPr="00DE6FFD">
        <w:t>To take par</w:t>
      </w:r>
      <w:r>
        <w:t xml:space="preserve">t </w:t>
      </w:r>
    </w:p>
    <w:p w14:paraId="494A2EA6" w14:textId="77777777" w:rsidR="005F70ED" w:rsidRDefault="005F70ED">
      <w:pPr>
        <w:pStyle w:val="ListBullet"/>
        <w:numPr>
          <w:ilvl w:val="0"/>
          <w:numId w:val="3"/>
        </w:numPr>
      </w:pPr>
      <w:r>
        <w:t xml:space="preserve">Create an account on the GMC/MPTS </w:t>
      </w:r>
      <w:bookmarkStart w:id="2" w:name="_Hlk97129247"/>
      <w:r>
        <w:fldChar w:fldCharType="begin"/>
      </w:r>
      <w:r>
        <w:instrText xml:space="preserve"> HYPERLINK "https://gmc-mpts.smartconsultations.co.uk/" </w:instrText>
      </w:r>
      <w:r>
        <w:fldChar w:fldCharType="separate"/>
      </w:r>
      <w:r w:rsidRPr="001C2556">
        <w:rPr>
          <w:rStyle w:val="Hyperlink"/>
        </w:rPr>
        <w:t>consultation platform</w:t>
      </w:r>
      <w:r>
        <w:rPr>
          <w:rStyle w:val="Hyperlink"/>
        </w:rPr>
        <w:fldChar w:fldCharType="end"/>
      </w:r>
      <w:bookmarkEnd w:id="2"/>
      <w:r w:rsidRPr="00816990">
        <w:rPr>
          <w:rStyle w:val="FootnoteReference"/>
          <w:color w:val="0000FF"/>
        </w:rPr>
        <w:footnoteReference w:id="2"/>
      </w:r>
      <w:r w:rsidRPr="00816990">
        <w:t xml:space="preserve"> </w:t>
      </w:r>
      <w:r>
        <w:t xml:space="preserve">which you can also use for our future consultations. On the platform you can read the updated guidance and save and return to your survey answers at any point. Once you’ve competed your response, you can download or print your full response. </w:t>
      </w:r>
    </w:p>
    <w:p w14:paraId="3DEC6F8B" w14:textId="77777777" w:rsidR="005F70ED" w:rsidRDefault="005F70ED" w:rsidP="005F70ED">
      <w:pPr>
        <w:pStyle w:val="GMCNormalBold"/>
      </w:pPr>
      <w:r>
        <w:t>Alternative formats and options</w:t>
      </w:r>
    </w:p>
    <w:p w14:paraId="32800E26" w14:textId="165FD450" w:rsidR="005F70ED" w:rsidRDefault="005F70ED">
      <w:pPr>
        <w:pStyle w:val="ListBullet"/>
        <w:numPr>
          <w:ilvl w:val="0"/>
          <w:numId w:val="3"/>
        </w:numPr>
      </w:pPr>
      <w:r>
        <w:t xml:space="preserve">If you’re unable to complete the survey online, you can email your response to: </w:t>
      </w:r>
      <w:hyperlink r:id="rId8" w:history="1">
        <w:r w:rsidRPr="00E36DAD">
          <w:rPr>
            <w:rStyle w:val="Hyperlink"/>
          </w:rPr>
          <w:t>professionalstandards@gmc-uk.org</w:t>
        </w:r>
      </w:hyperlink>
      <w:r w:rsidR="006B209A">
        <w:t>.</w:t>
      </w:r>
    </w:p>
    <w:p w14:paraId="75AB9BCC" w14:textId="77777777" w:rsidR="005F70ED" w:rsidRPr="006830F7" w:rsidRDefault="005F70ED">
      <w:pPr>
        <w:pStyle w:val="ListBullet"/>
        <w:numPr>
          <w:ilvl w:val="0"/>
          <w:numId w:val="3"/>
        </w:numPr>
      </w:pPr>
      <w:r>
        <w:lastRenderedPageBreak/>
        <w:t xml:space="preserve">You can send any printed responses to: GMP consultation, </w:t>
      </w:r>
      <w:r w:rsidRPr="00BE23BA">
        <w:t xml:space="preserve">Standards and </w:t>
      </w:r>
      <w:r>
        <w:t>e</w:t>
      </w:r>
      <w:r w:rsidRPr="00BE23BA">
        <w:t xml:space="preserve">thics </w:t>
      </w:r>
      <w:r>
        <w:t>t</w:t>
      </w:r>
      <w:r w:rsidRPr="00BE23BA">
        <w:t>eam, General Medical Council, Regents Place, 350 Euston Road, London NW1</w:t>
      </w:r>
      <w:r>
        <w:t> </w:t>
      </w:r>
      <w:r w:rsidRPr="00BE23BA">
        <w:t>3JN.</w:t>
      </w:r>
    </w:p>
    <w:p w14:paraId="5384D2B3" w14:textId="77777777" w:rsidR="005F70ED" w:rsidRDefault="005F70ED">
      <w:pPr>
        <w:pStyle w:val="ListBullet"/>
        <w:numPr>
          <w:ilvl w:val="0"/>
          <w:numId w:val="3"/>
        </w:numPr>
      </w:pPr>
      <w:r>
        <w:t xml:space="preserve">If you need the consultation documents </w:t>
      </w:r>
      <w:r w:rsidRPr="0067201C">
        <w:t>in Welsh</w:t>
      </w:r>
      <w:r>
        <w:t xml:space="preserve">, other languages, easy read, or </w:t>
      </w:r>
      <w:r w:rsidRPr="0067201C">
        <w:t>another</w:t>
      </w:r>
      <w:r>
        <w:t xml:space="preserve"> </w:t>
      </w:r>
      <w:r w:rsidRPr="0067201C">
        <w:t xml:space="preserve">format, </w:t>
      </w:r>
      <w:r>
        <w:t>call</w:t>
      </w:r>
      <w:r w:rsidRPr="0067201C">
        <w:t xml:space="preserve"> us on 0161 923</w:t>
      </w:r>
      <w:r>
        <w:t xml:space="preserve"> </w:t>
      </w:r>
      <w:r w:rsidRPr="0067201C">
        <w:t xml:space="preserve">6602 or email us at </w:t>
      </w:r>
      <w:hyperlink r:id="rId9" w:history="1">
        <w:r w:rsidRPr="001D54EF">
          <w:rPr>
            <w:rStyle w:val="Hyperlink"/>
          </w:rPr>
          <w:t>publications@gmc-uk.org</w:t>
        </w:r>
      </w:hyperlink>
      <w:r w:rsidRPr="0067201C">
        <w:t>.</w:t>
      </w:r>
      <w:r>
        <w:t xml:space="preserve"> </w:t>
      </w:r>
    </w:p>
    <w:bookmarkEnd w:id="1"/>
    <w:p w14:paraId="299404F4" w14:textId="0D46F4F6" w:rsidR="005F70ED" w:rsidRPr="005109A0" w:rsidRDefault="005F70ED" w:rsidP="005F70ED">
      <w:r w:rsidRPr="006830F7">
        <w:t xml:space="preserve">We’ve also developed </w:t>
      </w:r>
      <w:r>
        <w:t xml:space="preserve">two </w:t>
      </w:r>
      <w:r w:rsidRPr="006830F7">
        <w:t>surveys</w:t>
      </w:r>
      <w:r>
        <w:t xml:space="preserve"> for people with experience of the issues, but who won’t need to </w:t>
      </w:r>
      <w:r w:rsidRPr="006830F7">
        <w:t xml:space="preserve">review the </w:t>
      </w:r>
      <w:r>
        <w:t>updated</w:t>
      </w:r>
      <w:r w:rsidRPr="006830F7">
        <w:t xml:space="preserve"> </w:t>
      </w:r>
      <w:r>
        <w:t>guidance</w:t>
      </w:r>
      <w:r w:rsidRPr="006830F7">
        <w:t xml:space="preserve"> in detail</w:t>
      </w:r>
      <w:r>
        <w:t xml:space="preserve"> to take part</w:t>
      </w:r>
      <w:r w:rsidRPr="006830F7">
        <w:t>:</w:t>
      </w:r>
      <w:r>
        <w:t xml:space="preserve"> </w:t>
      </w:r>
    </w:p>
    <w:p w14:paraId="2E8EDC02" w14:textId="39814311" w:rsidR="005F70ED" w:rsidRDefault="001E3D9E">
      <w:pPr>
        <w:pStyle w:val="ListBullet"/>
        <w:numPr>
          <w:ilvl w:val="0"/>
          <w:numId w:val="3"/>
        </w:numPr>
      </w:pPr>
      <w:hyperlink r:id="rId10" w:history="1">
        <w:r w:rsidR="005F70ED" w:rsidRPr="00E22661">
          <w:rPr>
            <w:rStyle w:val="Hyperlink"/>
            <w:b/>
          </w:rPr>
          <w:t>Healthcare professionals’ survey</w:t>
        </w:r>
      </w:hyperlink>
      <w:r w:rsidR="005F70ED" w:rsidRPr="00000B9D">
        <w:rPr>
          <w:b/>
        </w:rPr>
        <w:t xml:space="preserve">: </w:t>
      </w:r>
      <w:r w:rsidR="005F70ED" w:rsidRPr="00000B9D">
        <w:rPr>
          <w:bCs/>
        </w:rPr>
        <w:t xml:space="preserve">for </w:t>
      </w:r>
      <w:r w:rsidR="005F70ED" w:rsidRPr="00000B9D">
        <w:t>doctors, physician associates and anaesthesia associates, as well as</w:t>
      </w:r>
      <w:r w:rsidR="005F70ED" w:rsidRPr="00000B9D">
        <w:rPr>
          <w:bCs/>
        </w:rPr>
        <w:t xml:space="preserve"> </w:t>
      </w:r>
      <w:r w:rsidR="005F70ED" w:rsidRPr="00DE6FFD">
        <w:rPr>
          <w:bCs/>
        </w:rPr>
        <w:t>other healthcare professionals</w:t>
      </w:r>
      <w:r w:rsidR="005F70ED" w:rsidRPr="007F7271">
        <w:rPr>
          <w:bCs/>
        </w:rPr>
        <w:t xml:space="preserve"> </w:t>
      </w:r>
      <w:r w:rsidR="005F70ED">
        <w:t xml:space="preserve">and anyone with a working knowledge or practical experience of the issues. </w:t>
      </w:r>
    </w:p>
    <w:p w14:paraId="399B0AA0" w14:textId="6FE2AFB4" w:rsidR="005F70ED" w:rsidRDefault="001E3D9E">
      <w:pPr>
        <w:pStyle w:val="ListBullet"/>
        <w:numPr>
          <w:ilvl w:val="0"/>
          <w:numId w:val="3"/>
        </w:numPr>
      </w:pPr>
      <w:hyperlink r:id="rId11" w:history="1">
        <w:r w:rsidR="00874D5B" w:rsidRPr="00E22661">
          <w:rPr>
            <w:rStyle w:val="Hyperlink"/>
            <w:b/>
          </w:rPr>
          <w:t>Survey for patients and patient organisations</w:t>
        </w:r>
      </w:hyperlink>
      <w:r w:rsidR="005F70ED">
        <w:rPr>
          <w:b/>
        </w:rPr>
        <w:t xml:space="preserve">: </w:t>
      </w:r>
      <w:r w:rsidR="005F70ED" w:rsidRPr="005103D6">
        <w:rPr>
          <w:bCs/>
        </w:rPr>
        <w:t xml:space="preserve">for patients, carers, relatives </w:t>
      </w:r>
      <w:r w:rsidR="005F70ED">
        <w:rPr>
          <w:bCs/>
        </w:rPr>
        <w:t xml:space="preserve">of patients </w:t>
      </w:r>
      <w:r w:rsidR="005F70ED" w:rsidRPr="005103D6">
        <w:rPr>
          <w:bCs/>
        </w:rPr>
        <w:t>and members of the public</w:t>
      </w:r>
      <w:r w:rsidR="005F70ED">
        <w:rPr>
          <w:bCs/>
        </w:rPr>
        <w:t>, as well as patient networks and groups</w:t>
      </w:r>
      <w:r w:rsidR="005F70ED" w:rsidRPr="007F7271">
        <w:rPr>
          <w:bCs/>
        </w:rPr>
        <w:t xml:space="preserve"> with</w:t>
      </w:r>
      <w:r w:rsidR="005F70ED">
        <w:t xml:space="preserve"> experience of the issues or views on what good medical practice should involve.  </w:t>
      </w:r>
    </w:p>
    <w:p w14:paraId="0BF3640F" w14:textId="77777777" w:rsidR="005F70ED" w:rsidRPr="006E15CF" w:rsidRDefault="005F70ED" w:rsidP="005F70ED">
      <w:pPr>
        <w:pStyle w:val="Heading2"/>
      </w:pPr>
      <w:r>
        <w:t xml:space="preserve">Survey questions </w:t>
      </w:r>
    </w:p>
    <w:p w14:paraId="13525550" w14:textId="77777777" w:rsidR="005F70ED" w:rsidRDefault="005F70ED" w:rsidP="005F70ED">
      <w:pPr>
        <w:spacing w:after="0" w:line="240" w:lineRule="auto"/>
      </w:pPr>
    </w:p>
    <w:p w14:paraId="589FAAF0" w14:textId="77777777" w:rsidR="005F70ED" w:rsidRPr="007268A7" w:rsidRDefault="005F70ED" w:rsidP="005F70ED">
      <w:r>
        <w:t xml:space="preserve">In this survey, we’d welcome your views on the questions on these topics:   </w:t>
      </w:r>
    </w:p>
    <w:p w14:paraId="006DA0F8" w14:textId="77777777" w:rsidR="005F70ED" w:rsidRDefault="005F70ED">
      <w:pPr>
        <w:pStyle w:val="ListBullet"/>
        <w:numPr>
          <w:ilvl w:val="0"/>
          <w:numId w:val="3"/>
        </w:numPr>
      </w:pPr>
      <w:r>
        <w:t>Structure, style and application, and tone (questions 1</w:t>
      </w:r>
      <w:r>
        <w:noBreakHyphen/>
        <w:t>3)</w:t>
      </w:r>
    </w:p>
    <w:p w14:paraId="08C4ED2A" w14:textId="77777777" w:rsidR="005F70ED" w:rsidRDefault="005F70ED">
      <w:pPr>
        <w:pStyle w:val="ListBullet"/>
        <w:numPr>
          <w:ilvl w:val="0"/>
          <w:numId w:val="3"/>
        </w:numPr>
      </w:pPr>
      <w:r>
        <w:t>Equality, diversity, and inclusion (question 4)</w:t>
      </w:r>
    </w:p>
    <w:p w14:paraId="05CB180A" w14:textId="77777777" w:rsidR="005F70ED" w:rsidRDefault="005F70ED">
      <w:pPr>
        <w:pStyle w:val="ListBullet"/>
        <w:numPr>
          <w:ilvl w:val="0"/>
          <w:numId w:val="3"/>
        </w:numPr>
      </w:pPr>
      <w:r>
        <w:t>Introductory sections (questions 5</w:t>
      </w:r>
      <w:r>
        <w:noBreakHyphen/>
        <w:t>7)</w:t>
      </w:r>
    </w:p>
    <w:p w14:paraId="5B65E3F4" w14:textId="77777777" w:rsidR="005F70ED" w:rsidRDefault="005F70ED">
      <w:pPr>
        <w:pStyle w:val="ListBullet"/>
        <w:numPr>
          <w:ilvl w:val="0"/>
          <w:numId w:val="3"/>
        </w:numPr>
      </w:pPr>
      <w:r>
        <w:t>Questions on four key themes (questions 8</w:t>
      </w:r>
      <w:r>
        <w:noBreakHyphen/>
        <w:t>17)</w:t>
      </w:r>
    </w:p>
    <w:p w14:paraId="6EE6DF31" w14:textId="77777777" w:rsidR="005F70ED" w:rsidRDefault="005F70ED">
      <w:pPr>
        <w:pStyle w:val="ListBullet"/>
        <w:numPr>
          <w:ilvl w:val="0"/>
          <w:numId w:val="3"/>
        </w:numPr>
      </w:pPr>
      <w:r>
        <w:t>Other themes and changes (questions 18</w:t>
      </w:r>
      <w:r>
        <w:noBreakHyphen/>
        <w:t>20)</w:t>
      </w:r>
    </w:p>
    <w:p w14:paraId="2A0D5157" w14:textId="77777777" w:rsidR="005F70ED" w:rsidRDefault="005F70ED">
      <w:pPr>
        <w:pStyle w:val="ListBullet"/>
        <w:numPr>
          <w:ilvl w:val="0"/>
          <w:numId w:val="3"/>
        </w:numPr>
      </w:pPr>
      <w:r>
        <w:t>Explanatory guidance (question 21)</w:t>
      </w:r>
    </w:p>
    <w:p w14:paraId="5BF637DE" w14:textId="77777777" w:rsidR="005F70ED" w:rsidRDefault="005F70ED">
      <w:pPr>
        <w:pStyle w:val="ListBullet"/>
        <w:numPr>
          <w:ilvl w:val="0"/>
          <w:numId w:val="3"/>
        </w:numPr>
      </w:pPr>
      <w:r>
        <w:t>Overall comments (question 22)</w:t>
      </w:r>
    </w:p>
    <w:p w14:paraId="0FCA2182" w14:textId="77777777" w:rsidR="005F70ED" w:rsidRDefault="005F70ED">
      <w:pPr>
        <w:pStyle w:val="ListBullet"/>
        <w:numPr>
          <w:ilvl w:val="0"/>
          <w:numId w:val="3"/>
        </w:numPr>
      </w:pPr>
      <w:r>
        <w:t>Implementing our professional standards (questions 23</w:t>
      </w:r>
      <w:r>
        <w:noBreakHyphen/>
        <w:t xml:space="preserve">26) </w:t>
      </w:r>
    </w:p>
    <w:p w14:paraId="5874343E" w14:textId="77777777" w:rsidR="005F70ED" w:rsidRPr="008370F6" w:rsidRDefault="005F70ED">
      <w:pPr>
        <w:pStyle w:val="ListBullet"/>
        <w:numPr>
          <w:ilvl w:val="0"/>
          <w:numId w:val="3"/>
        </w:numPr>
      </w:pPr>
      <w:r w:rsidRPr="008370F6">
        <w:t xml:space="preserve">The consultation process (questions 27-29). </w:t>
      </w:r>
    </w:p>
    <w:p w14:paraId="7D051B51" w14:textId="70511FDC" w:rsidR="005F70ED" w:rsidRDefault="005F70ED" w:rsidP="005F70ED">
      <w:r w:rsidRPr="008370F6">
        <w:t xml:space="preserve">We want to hear a variety of perspectives before we finalise the guidance, so please complete as many questions as you can. </w:t>
      </w:r>
    </w:p>
    <w:p w14:paraId="7340258B" w14:textId="77777777" w:rsidR="005F70ED" w:rsidRDefault="005F70ED">
      <w:pPr>
        <w:spacing w:after="0" w:line="240" w:lineRule="auto"/>
      </w:pPr>
      <w:r>
        <w:br w:type="page"/>
      </w:r>
    </w:p>
    <w:p w14:paraId="7EED319D" w14:textId="77777777" w:rsidR="005F70ED" w:rsidRDefault="005F70ED" w:rsidP="005F70ED">
      <w:pPr>
        <w:pStyle w:val="Heading1"/>
      </w:pPr>
      <w:r>
        <w:lastRenderedPageBreak/>
        <w:t>Background</w:t>
      </w:r>
    </w:p>
    <w:p w14:paraId="6C95586E" w14:textId="77777777" w:rsidR="005F70ED" w:rsidRPr="000321B6" w:rsidRDefault="005F70ED" w:rsidP="005F70ED">
      <w:r w:rsidRPr="00E31BB3">
        <w:rPr>
          <w:i/>
          <w:iCs/>
        </w:rPr>
        <w:t>Good medical practice</w:t>
      </w:r>
      <w:r>
        <w:t xml:space="preserve"> (GMP) applies to all doctors registered with us no matter which specialty, grade, role type or sector they work in. It also applies whether or not they routinely see patients. And, in this consultation, we’re proposing that GMP will apply to physician associates (PAs) and anaesthesia associates (AAs), once these professional groups come into regulation. We’ve adopted the term </w:t>
      </w:r>
      <w:r>
        <w:rPr>
          <w:b/>
          <w:bCs/>
        </w:rPr>
        <w:t>medical professionals</w:t>
      </w:r>
      <w:r>
        <w:t xml:space="preserve"> to collectively describe all three professional groups. </w:t>
      </w:r>
    </w:p>
    <w:p w14:paraId="386E72AA" w14:textId="01B60932" w:rsidR="005F70ED" w:rsidRDefault="00C33516" w:rsidP="005F70ED">
      <w:r>
        <w:t>G</w:t>
      </w:r>
      <w:r w:rsidR="00133F07">
        <w:t xml:space="preserve">MP </w:t>
      </w:r>
      <w:r w:rsidR="005F70ED">
        <w:t xml:space="preserve">is embedded in all our regulatory functions, informing: </w:t>
      </w:r>
    </w:p>
    <w:p w14:paraId="0031C398" w14:textId="77777777" w:rsidR="005F70ED" w:rsidRDefault="005F70ED">
      <w:pPr>
        <w:pStyle w:val="ListBullet"/>
        <w:numPr>
          <w:ilvl w:val="0"/>
          <w:numId w:val="3"/>
        </w:numPr>
      </w:pPr>
      <w:r>
        <w:t>the processes for getting and retaining a license to practise through our registration and revalidation procedures</w:t>
      </w:r>
    </w:p>
    <w:p w14:paraId="10295DE9" w14:textId="77777777" w:rsidR="005F70ED" w:rsidRDefault="005F70ED">
      <w:pPr>
        <w:pStyle w:val="ListBullet"/>
        <w:numPr>
          <w:ilvl w:val="0"/>
          <w:numId w:val="3"/>
        </w:numPr>
      </w:pPr>
      <w:r>
        <w:t xml:space="preserve">decision making throughout our fitness to practise procedures </w:t>
      </w:r>
    </w:p>
    <w:p w14:paraId="1E047642" w14:textId="77777777" w:rsidR="005F70ED" w:rsidRDefault="005F70ED">
      <w:pPr>
        <w:pStyle w:val="ListBullet"/>
        <w:numPr>
          <w:ilvl w:val="0"/>
          <w:numId w:val="3"/>
        </w:numPr>
      </w:pPr>
      <w:r>
        <w:t xml:space="preserve">our processes for quality assuring medical education and training. </w:t>
      </w:r>
    </w:p>
    <w:p w14:paraId="2C39962E" w14:textId="3E25A6A1" w:rsidR="005F70ED" w:rsidRDefault="00C33516" w:rsidP="005F70ED">
      <w:r>
        <w:t>The guidance</w:t>
      </w:r>
      <w:r w:rsidR="00133F07">
        <w:t xml:space="preserve"> i</w:t>
      </w:r>
      <w:r w:rsidR="005F70ED">
        <w:t xml:space="preserve">s also embedded in UK-wide healthcare systems for appraisal and clinical governance. </w:t>
      </w:r>
    </w:p>
    <w:p w14:paraId="7E4B4621" w14:textId="77777777" w:rsidR="005F70ED" w:rsidRDefault="005F70ED" w:rsidP="005F70ED">
      <w:pPr>
        <w:pStyle w:val="Heading2"/>
      </w:pPr>
      <w:bookmarkStart w:id="3" w:name="_Hlk90310997"/>
      <w:r>
        <w:t xml:space="preserve">What belongs in the core professional guidance? </w:t>
      </w:r>
    </w:p>
    <w:p w14:paraId="28CE6A4F" w14:textId="77777777" w:rsidR="005F70ED" w:rsidRPr="007022C3" w:rsidRDefault="005F70ED" w:rsidP="005F70ED">
      <w:r>
        <w:t xml:space="preserve">Our guidance has a unique role in setting out </w:t>
      </w:r>
      <w:r w:rsidRPr="00D0531F">
        <w:t>the standards of care and professional behaviour expected of all medical professionals registered with us</w:t>
      </w:r>
      <w:r>
        <w:t xml:space="preserve">. But there are many other sources of advice for medical professionals. </w:t>
      </w:r>
      <w:proofErr w:type="gramStart"/>
      <w:r>
        <w:t>So</w:t>
      </w:r>
      <w:proofErr w:type="gramEnd"/>
      <w:r>
        <w:t xml:space="preserve"> it’s important that we avoid duplication and don’t create </w:t>
      </w:r>
      <w:r w:rsidRPr="007022C3">
        <w:t>unrealistic or additional burdens on those we regulate.</w:t>
      </w:r>
    </w:p>
    <w:p w14:paraId="11D1182B" w14:textId="77777777" w:rsidR="005F70ED" w:rsidRPr="001E4449" w:rsidRDefault="005F70ED" w:rsidP="005F70ED">
      <w:r w:rsidRPr="001E4449">
        <w:t>We therefore only introduce new duties if they’re:</w:t>
      </w:r>
    </w:p>
    <w:p w14:paraId="1D98D754" w14:textId="77777777" w:rsidR="005F70ED" w:rsidRPr="001E4449" w:rsidRDefault="005F70ED">
      <w:pPr>
        <w:pStyle w:val="ListBullet"/>
        <w:numPr>
          <w:ilvl w:val="0"/>
          <w:numId w:val="3"/>
        </w:numPr>
      </w:pPr>
      <w:r w:rsidRPr="001E4449">
        <w:t>relevant to the individual registrant’s practice, not an action for employers, educators or government</w:t>
      </w:r>
    </w:p>
    <w:p w14:paraId="0B8983B7" w14:textId="77777777" w:rsidR="005F70ED" w:rsidRPr="001E4449" w:rsidRDefault="005F70ED">
      <w:pPr>
        <w:pStyle w:val="ListBullet"/>
        <w:numPr>
          <w:ilvl w:val="0"/>
          <w:numId w:val="3"/>
        </w:numPr>
      </w:pPr>
      <w:bookmarkStart w:id="4" w:name="_Hlk85905103"/>
      <w:r w:rsidRPr="001E4449">
        <w:t>relevant to most - if not all - registrants, keeping in mind that our registrants will include doctors, PAs and AAs, and not all registrants work in patient-facing roles</w:t>
      </w:r>
    </w:p>
    <w:bookmarkEnd w:id="4"/>
    <w:p w14:paraId="358EC0EC" w14:textId="77777777" w:rsidR="005F70ED" w:rsidRPr="001E4449" w:rsidRDefault="005F70ED">
      <w:pPr>
        <w:pStyle w:val="ListBullet"/>
        <w:numPr>
          <w:ilvl w:val="0"/>
          <w:numId w:val="3"/>
        </w:numPr>
      </w:pPr>
      <w:r w:rsidRPr="001E4449">
        <w:t>actionable by registrants in practice and capable of being evidenced, e.g., through appraisal and revalidation</w:t>
      </w:r>
    </w:p>
    <w:p w14:paraId="408BF57A" w14:textId="77777777" w:rsidR="005F70ED" w:rsidRPr="001E4449" w:rsidRDefault="005F70ED">
      <w:pPr>
        <w:pStyle w:val="ListBullet"/>
        <w:numPr>
          <w:ilvl w:val="0"/>
          <w:numId w:val="3"/>
        </w:numPr>
      </w:pPr>
      <w:r w:rsidRPr="001E4449">
        <w:t>necessary to protect patients, maintain standards or to uphold confidence in the professions we regulate</w:t>
      </w:r>
      <w:bookmarkStart w:id="5" w:name="_Hlk85893944"/>
      <w:r w:rsidRPr="001E4449">
        <w:t>.</w:t>
      </w:r>
    </w:p>
    <w:bookmarkEnd w:id="3"/>
    <w:bookmarkEnd w:id="5"/>
    <w:p w14:paraId="66FFA485" w14:textId="77777777" w:rsidR="005F70ED" w:rsidRDefault="005F70ED" w:rsidP="005F70ED">
      <w:pPr>
        <w:pStyle w:val="Heading2"/>
      </w:pPr>
      <w:r>
        <w:rPr>
          <w:lang w:val="en"/>
        </w:rPr>
        <w:lastRenderedPageBreak/>
        <w:t xml:space="preserve">What’s the evidence behind the proposed changes? </w:t>
      </w:r>
    </w:p>
    <w:p w14:paraId="78577BD9" w14:textId="77777777" w:rsidR="005F70ED" w:rsidRDefault="005F70ED" w:rsidP="005F70ED">
      <w:r w:rsidRPr="008C5AB5">
        <w:t>We</w:t>
      </w:r>
      <w:r>
        <w:t>’ve</w:t>
      </w:r>
      <w:r w:rsidRPr="008C5AB5">
        <w:t xml:space="preserve"> carried out a range of pre-consultation activities to develop the evidence base for the review</w:t>
      </w:r>
      <w:r>
        <w:t xml:space="preserve">. This includes feedback from those who use our guidance, as well as findings from research and public inquires. </w:t>
      </w:r>
    </w:p>
    <w:p w14:paraId="4F37257F" w14:textId="77777777" w:rsidR="005F70ED" w:rsidRDefault="005F70ED" w:rsidP="005F70ED">
      <w:r>
        <w:t xml:space="preserve">Throughout the survey, we’ve included the rationale behind the changes we’ve proposed. You can read more about the review, including a summary of the evidence that has guided the review </w:t>
      </w:r>
      <w:bookmarkStart w:id="6" w:name="_Hlk97129349"/>
      <w:r w:rsidRPr="006E12E6">
        <w:fldChar w:fldCharType="begin"/>
      </w:r>
      <w:r>
        <w:instrText>HYPERLINK "http://www.gmc-uk.org/ethical-guidance/good-medical-practice-review"</w:instrText>
      </w:r>
      <w:r w:rsidRPr="006E12E6">
        <w:fldChar w:fldCharType="separate"/>
      </w:r>
      <w:r>
        <w:rPr>
          <w:rStyle w:val="Hyperlink"/>
        </w:rPr>
        <w:t xml:space="preserve">on our website pages about the </w:t>
      </w:r>
      <w:r w:rsidRPr="00B96BC1">
        <w:rPr>
          <w:rStyle w:val="Hyperlink"/>
          <w:i/>
          <w:iCs/>
        </w:rPr>
        <w:t>Good medical practice</w:t>
      </w:r>
      <w:r>
        <w:rPr>
          <w:rStyle w:val="Hyperlink"/>
        </w:rPr>
        <w:t xml:space="preserve"> review.</w:t>
      </w:r>
      <w:r w:rsidRPr="006E12E6">
        <w:rPr>
          <w:rStyle w:val="Hyperlink"/>
        </w:rPr>
        <w:fldChar w:fldCharType="end"/>
      </w:r>
      <w:bookmarkEnd w:id="6"/>
      <w:r>
        <w:rPr>
          <w:rStyle w:val="FootnoteReference"/>
        </w:rPr>
        <w:footnoteReference w:id="3"/>
      </w:r>
      <w:r>
        <w:t xml:space="preserve"> </w:t>
      </w:r>
    </w:p>
    <w:p w14:paraId="11A6681C" w14:textId="77777777" w:rsidR="005F70ED" w:rsidRDefault="005F70ED" w:rsidP="005F70ED">
      <w:pPr>
        <w:pStyle w:val="Heading2"/>
      </w:pPr>
      <w:r>
        <w:t>Equality, diversity, and inclusion</w:t>
      </w:r>
    </w:p>
    <w:p w14:paraId="37F4AE06" w14:textId="77777777" w:rsidR="005F70ED" w:rsidRDefault="005F70ED" w:rsidP="005F70ED">
      <w:r>
        <w:t xml:space="preserve">We’re carrying out an </w:t>
      </w:r>
      <w:r w:rsidRPr="00B96BC1">
        <w:t>equality analysis</w:t>
      </w:r>
      <w:r>
        <w:t xml:space="preserve"> throughout this review to help us identify the steps we must take to comply with the three aims of the public sector equality duty under the </w:t>
      </w:r>
      <w:r w:rsidRPr="003140AB">
        <w:rPr>
          <w:i/>
        </w:rPr>
        <w:t>Equality Act 2010</w:t>
      </w:r>
      <w:r>
        <w:t xml:space="preserve">. You can read the latest version of the equality analysis </w:t>
      </w:r>
      <w:hyperlink r:id="rId12" w:history="1">
        <w:r>
          <w:rPr>
            <w:rStyle w:val="Hyperlink"/>
          </w:rPr>
          <w:t xml:space="preserve">on our website pages about the </w:t>
        </w:r>
        <w:r w:rsidRPr="00B96BC1">
          <w:rPr>
            <w:rStyle w:val="Hyperlink"/>
            <w:i/>
            <w:iCs/>
          </w:rPr>
          <w:t>Good medical practice</w:t>
        </w:r>
        <w:r>
          <w:rPr>
            <w:rStyle w:val="Hyperlink"/>
          </w:rPr>
          <w:t xml:space="preserve"> review.</w:t>
        </w:r>
      </w:hyperlink>
    </w:p>
    <w:p w14:paraId="40C4EA55" w14:textId="77777777" w:rsidR="005F70ED" w:rsidRDefault="005F70ED" w:rsidP="005F70ED">
      <w:r>
        <w:t xml:space="preserve">Your responses to this survey will help us understand how the guidance might impact medical professionals, patients and members of the public who share protected characteristics. </w:t>
      </w:r>
    </w:p>
    <w:p w14:paraId="5D5E83A9" w14:textId="77777777" w:rsidR="005F70ED" w:rsidRDefault="005F70ED" w:rsidP="005F70ED">
      <w:r>
        <w:t xml:space="preserve">We also ask for diversity information from individual respondents to help us understand if any groups have raised specific issues about the guidance. We can then consider what steps to take to reflect the issues raised. </w:t>
      </w:r>
    </w:p>
    <w:p w14:paraId="74AAAF13" w14:textId="77777777" w:rsidR="005F70ED" w:rsidRDefault="005F70ED" w:rsidP="005F70ED">
      <w:pPr>
        <w:pStyle w:val="Heading1"/>
      </w:pPr>
      <w:bookmarkStart w:id="7" w:name="_Hlk90310981"/>
      <w:r>
        <w:t>Purpose</w:t>
      </w:r>
      <w:bookmarkEnd w:id="7"/>
    </w:p>
    <w:p w14:paraId="530B5088" w14:textId="77777777" w:rsidR="005F70ED" w:rsidRDefault="005F70ED" w:rsidP="005F70ED">
      <w:pPr>
        <w:rPr>
          <w:lang w:val="en"/>
        </w:rPr>
      </w:pPr>
      <w:bookmarkStart w:id="8" w:name="_Hlk90310926"/>
      <w:r>
        <w:rPr>
          <w:lang w:val="en"/>
        </w:rPr>
        <w:t xml:space="preserve">We’re seeking your views on updates we’re proposing to make to GMP. </w:t>
      </w:r>
    </w:p>
    <w:p w14:paraId="741D4925" w14:textId="77777777" w:rsidR="005F70ED" w:rsidRDefault="005F70ED" w:rsidP="005F70ED">
      <w:pPr>
        <w:pStyle w:val="Heading2"/>
        <w:rPr>
          <w:lang w:val="en"/>
        </w:rPr>
      </w:pPr>
      <w:r>
        <w:rPr>
          <w:lang w:val="en"/>
        </w:rPr>
        <w:t>What’s in scope?</w:t>
      </w:r>
    </w:p>
    <w:p w14:paraId="228C052F" w14:textId="77777777" w:rsidR="005F70ED" w:rsidRDefault="005F70ED" w:rsidP="005F70ED">
      <w:pPr>
        <w:rPr>
          <w:lang w:val="en"/>
        </w:rPr>
      </w:pPr>
      <w:r>
        <w:rPr>
          <w:lang w:val="en"/>
        </w:rPr>
        <w:t>GMP is supported by a range of explanatory guidance which explains how the high</w:t>
      </w:r>
      <w:r>
        <w:rPr>
          <w:lang w:val="en"/>
        </w:rPr>
        <w:noBreakHyphen/>
        <w:t xml:space="preserve">level principles play out in different situations, including where principles might come into conflict. We plan to review some of the explanatory guidance following this consultation and this survey asks for your views on what additional areas the explanatory guidance should cover. </w:t>
      </w:r>
    </w:p>
    <w:p w14:paraId="70AF8F8C" w14:textId="77777777" w:rsidR="005F70ED" w:rsidRPr="00B96BC1" w:rsidRDefault="005F70ED" w:rsidP="005F70ED">
      <w:pPr>
        <w:rPr>
          <w:rFonts w:cs="Tahoma"/>
        </w:rPr>
      </w:pPr>
      <w:r>
        <w:rPr>
          <w:rFonts w:cs="Tahoma"/>
        </w:rPr>
        <w:t>The r</w:t>
      </w:r>
      <w:r w:rsidRPr="00115D36">
        <w:rPr>
          <w:rFonts w:cs="Tahoma"/>
        </w:rPr>
        <w:t>eview of</w:t>
      </w:r>
      <w:r>
        <w:rPr>
          <w:rFonts w:cs="Tahoma"/>
        </w:rPr>
        <w:t xml:space="preserve"> GMP is also an important </w:t>
      </w:r>
      <w:r w:rsidRPr="00115D36">
        <w:rPr>
          <w:rFonts w:cs="Tahoma"/>
        </w:rPr>
        <w:t xml:space="preserve">opportunity to improve how we implement our professional standards. </w:t>
      </w:r>
      <w:r>
        <w:rPr>
          <w:rFonts w:cs="Tahoma"/>
        </w:rPr>
        <w:t>This consultation includes questions on what acts as a barrier or a positive influence on how our standards are put into practice. This will help us identify the most effective way we can support the use of GMP when it’s published.</w:t>
      </w:r>
      <w:bookmarkEnd w:id="8"/>
    </w:p>
    <w:p w14:paraId="2FCACAB3" w14:textId="77777777" w:rsidR="005F70ED" w:rsidRDefault="005F70ED" w:rsidP="005F70ED">
      <w:pPr>
        <w:pStyle w:val="Heading1"/>
      </w:pPr>
      <w:r>
        <w:lastRenderedPageBreak/>
        <w:t>Structure, style and application, and tone</w:t>
      </w:r>
    </w:p>
    <w:p w14:paraId="11CF00EF" w14:textId="77777777" w:rsidR="005F70ED" w:rsidRDefault="005F70ED" w:rsidP="005F70ED">
      <w:pPr>
        <w:pStyle w:val="Heading2"/>
      </w:pPr>
      <w:r w:rsidRPr="00555B61">
        <w:t xml:space="preserve">Structure </w:t>
      </w:r>
    </w:p>
    <w:p w14:paraId="4D638460" w14:textId="77777777" w:rsidR="005F70ED" w:rsidRDefault="005F70ED" w:rsidP="005F70ED">
      <w:r>
        <w:t xml:space="preserve">GMP is organised into four domains which each carry equal weight. This structure is well embedded in external systems of clinical governance and appraisal, as well as our own revalidation and fitness to practise processes. </w:t>
      </w:r>
    </w:p>
    <w:p w14:paraId="7DDA2F83" w14:textId="5898548F" w:rsidR="005F70ED" w:rsidRDefault="29F6B57D" w:rsidP="005F70ED">
      <w:r>
        <w:t xml:space="preserve">Our engagement activity highlighted that there was support for keeping the </w:t>
      </w:r>
      <w:proofErr w:type="gramStart"/>
      <w:r>
        <w:t>four domain</w:t>
      </w:r>
      <w:proofErr w:type="gramEnd"/>
      <w:r>
        <w:t xml:space="preserve"> structure. However, we also had feedback that some content wasn’t where users might expect to find it. We also heard that the domain names don’t always help users find their way around the document. So, we’ve refreshed the structure to make it more accessible. </w:t>
      </w:r>
    </w:p>
    <w:p w14:paraId="365DB039" w14:textId="77777777" w:rsidR="005F70ED" w:rsidRDefault="005F70ED" w:rsidP="005F70ED">
      <w:pPr>
        <w:pStyle w:val="Heading3"/>
      </w:pPr>
      <w:r>
        <w:t>Changing domain titles and reorganising content</w:t>
      </w:r>
    </w:p>
    <w:p w14:paraId="433E4975" w14:textId="77777777" w:rsidR="005F70ED" w:rsidRDefault="005F70ED" w:rsidP="005F70ED">
      <w:r>
        <w:t xml:space="preserve">We’ve organised the content more thematically than in the current edition of GMP and changed the names of three of the domains to match. For example, we’ve brought together content on working with colleagues in domain one and working with patients in domain two. We hope this will make content easier to find. </w:t>
      </w:r>
    </w:p>
    <w:p w14:paraId="4794E3AC" w14:textId="77777777" w:rsidR="005F70ED" w:rsidRDefault="005F70ED" w:rsidP="005F70ED">
      <w:r>
        <w:t xml:space="preserve">We’ve also brought together some principles that were distributed throughout the guidance, for example, on communication and leadership behaviours. This is to give greater prominence to important themes. </w:t>
      </w:r>
    </w:p>
    <w:tbl>
      <w:tblPr>
        <w:tblStyle w:val="TableGrid"/>
        <w:tblW w:w="9776" w:type="dxa"/>
        <w:tblLook w:val="04A0" w:firstRow="1" w:lastRow="0" w:firstColumn="1" w:lastColumn="0" w:noHBand="0" w:noVBand="1"/>
      </w:tblPr>
      <w:tblGrid>
        <w:gridCol w:w="1145"/>
        <w:gridCol w:w="1979"/>
        <w:gridCol w:w="2825"/>
        <w:gridCol w:w="3827"/>
      </w:tblGrid>
      <w:tr w:rsidR="005F70ED" w:rsidRPr="005A33E7" w14:paraId="7242A5ED" w14:textId="77777777" w:rsidTr="003A03B5">
        <w:trPr>
          <w:trHeight w:val="463"/>
        </w:trPr>
        <w:tc>
          <w:tcPr>
            <w:tcW w:w="1145" w:type="dxa"/>
          </w:tcPr>
          <w:p w14:paraId="78BA5BC5" w14:textId="77777777" w:rsidR="005F70ED" w:rsidRPr="009B60B1" w:rsidRDefault="005F70ED" w:rsidP="00B93F1B">
            <w:pPr>
              <w:jc w:val="center"/>
              <w:rPr>
                <w:rFonts w:cs="Tahoma"/>
                <w:b/>
                <w:bCs/>
              </w:rPr>
            </w:pPr>
            <w:r w:rsidRPr="009B60B1">
              <w:rPr>
                <w:rFonts w:cs="Tahoma"/>
                <w:b/>
                <w:bCs/>
              </w:rPr>
              <w:t>Domain</w:t>
            </w:r>
          </w:p>
        </w:tc>
        <w:tc>
          <w:tcPr>
            <w:tcW w:w="1979" w:type="dxa"/>
          </w:tcPr>
          <w:p w14:paraId="205F8F14" w14:textId="77777777" w:rsidR="005F70ED" w:rsidRPr="005A33E7" w:rsidRDefault="005F70ED" w:rsidP="00B93F1B">
            <w:pPr>
              <w:jc w:val="center"/>
              <w:rPr>
                <w:rFonts w:cs="Tahoma"/>
                <w:b/>
                <w:bCs/>
              </w:rPr>
            </w:pPr>
            <w:r w:rsidRPr="005A33E7">
              <w:rPr>
                <w:rFonts w:cs="Tahoma"/>
                <w:b/>
                <w:bCs/>
              </w:rPr>
              <w:t>2013 GMP</w:t>
            </w:r>
          </w:p>
        </w:tc>
        <w:tc>
          <w:tcPr>
            <w:tcW w:w="2825" w:type="dxa"/>
          </w:tcPr>
          <w:p w14:paraId="0D00A525" w14:textId="77777777" w:rsidR="005F70ED" w:rsidRPr="005A33E7" w:rsidRDefault="005F70ED" w:rsidP="00B93F1B">
            <w:pPr>
              <w:jc w:val="center"/>
              <w:rPr>
                <w:rFonts w:cs="Tahoma"/>
                <w:b/>
                <w:bCs/>
              </w:rPr>
            </w:pPr>
            <w:r w:rsidRPr="005A33E7">
              <w:rPr>
                <w:rFonts w:cs="Tahoma"/>
                <w:b/>
                <w:bCs/>
              </w:rPr>
              <w:t>Redraft</w:t>
            </w:r>
            <w:r>
              <w:rPr>
                <w:rFonts w:cs="Tahoma"/>
                <w:b/>
                <w:bCs/>
              </w:rPr>
              <w:t>ed</w:t>
            </w:r>
            <w:r w:rsidRPr="005A33E7">
              <w:rPr>
                <w:rFonts w:cs="Tahoma"/>
                <w:b/>
                <w:bCs/>
              </w:rPr>
              <w:t xml:space="preserve"> GMP</w:t>
            </w:r>
          </w:p>
        </w:tc>
        <w:tc>
          <w:tcPr>
            <w:tcW w:w="3827" w:type="dxa"/>
          </w:tcPr>
          <w:p w14:paraId="6CCC3CBA" w14:textId="77777777" w:rsidR="005F70ED" w:rsidRPr="005A33E7" w:rsidRDefault="005F70ED" w:rsidP="00B93F1B">
            <w:pPr>
              <w:jc w:val="center"/>
              <w:rPr>
                <w:rFonts w:cs="Tahoma"/>
                <w:b/>
                <w:bCs/>
              </w:rPr>
            </w:pPr>
            <w:r>
              <w:rPr>
                <w:rFonts w:cs="Tahoma"/>
                <w:b/>
                <w:bCs/>
              </w:rPr>
              <w:t>Summary of changes</w:t>
            </w:r>
          </w:p>
        </w:tc>
      </w:tr>
      <w:tr w:rsidR="005F70ED" w:rsidRPr="005A33E7" w14:paraId="1B2FB3BD" w14:textId="77777777" w:rsidTr="003A03B5">
        <w:trPr>
          <w:trHeight w:val="947"/>
        </w:trPr>
        <w:tc>
          <w:tcPr>
            <w:tcW w:w="1145" w:type="dxa"/>
          </w:tcPr>
          <w:p w14:paraId="01E466C5" w14:textId="77777777" w:rsidR="005F70ED" w:rsidRPr="009B60B1" w:rsidRDefault="005F70ED">
            <w:pPr>
              <w:pStyle w:val="ListParagraph"/>
              <w:numPr>
                <w:ilvl w:val="0"/>
                <w:numId w:val="8"/>
              </w:numPr>
              <w:rPr>
                <w:rFonts w:cs="Tahoma"/>
                <w:sz w:val="24"/>
                <w:szCs w:val="24"/>
              </w:rPr>
            </w:pPr>
          </w:p>
        </w:tc>
        <w:tc>
          <w:tcPr>
            <w:tcW w:w="1979" w:type="dxa"/>
          </w:tcPr>
          <w:p w14:paraId="324735CF" w14:textId="77777777" w:rsidR="005F70ED" w:rsidRPr="005A33E7" w:rsidRDefault="005F70ED" w:rsidP="00B93F1B">
            <w:pPr>
              <w:rPr>
                <w:rFonts w:cs="Tahoma"/>
              </w:rPr>
            </w:pPr>
            <w:r w:rsidRPr="005A33E7">
              <w:rPr>
                <w:rFonts w:cs="Tahoma"/>
              </w:rPr>
              <w:t>Knowledge, skills and performance</w:t>
            </w:r>
          </w:p>
        </w:tc>
        <w:tc>
          <w:tcPr>
            <w:tcW w:w="2825" w:type="dxa"/>
          </w:tcPr>
          <w:p w14:paraId="70E8206A" w14:textId="77777777" w:rsidR="005F70ED" w:rsidRPr="00683398" w:rsidRDefault="005F70ED" w:rsidP="00B93F1B">
            <w:pPr>
              <w:rPr>
                <w:rFonts w:cs="Tahoma"/>
                <w:bCs/>
              </w:rPr>
            </w:pPr>
            <w:r w:rsidRPr="00D4102C">
              <w:rPr>
                <w:rFonts w:cs="Tahoma"/>
                <w:bCs/>
              </w:rPr>
              <w:t xml:space="preserve">Working with colleagues </w:t>
            </w:r>
          </w:p>
        </w:tc>
        <w:tc>
          <w:tcPr>
            <w:tcW w:w="3827" w:type="dxa"/>
          </w:tcPr>
          <w:p w14:paraId="143067AA" w14:textId="77777777" w:rsidR="005F70ED" w:rsidRDefault="005F70ED" w:rsidP="00B93F1B">
            <w:pPr>
              <w:spacing w:after="0" w:line="240" w:lineRule="auto"/>
            </w:pPr>
            <w:r>
              <w:t xml:space="preserve">Domain one is now concerned with </w:t>
            </w:r>
            <w:r>
              <w:rPr>
                <w:rFonts w:cs="Tahoma"/>
              </w:rPr>
              <w:t>how medical professionals work together, recognising that fair, inclusive, civil and respectful working cultures are important for patient safety as well as the wellbeing of medical professionals.</w:t>
            </w:r>
          </w:p>
          <w:p w14:paraId="2005A0A1" w14:textId="77777777" w:rsidR="005F70ED" w:rsidRDefault="005F70ED" w:rsidP="00B93F1B">
            <w:pPr>
              <w:spacing w:after="0" w:line="240" w:lineRule="auto"/>
            </w:pPr>
          </w:p>
          <w:p w14:paraId="12EFF8FD" w14:textId="77777777" w:rsidR="005F70ED" w:rsidRPr="009B60B1" w:rsidRDefault="005F70ED" w:rsidP="00B93F1B">
            <w:pPr>
              <w:spacing w:after="0" w:line="240" w:lineRule="auto"/>
            </w:pPr>
            <w:r>
              <w:t xml:space="preserve">It describes how professionals should treat each other, and how teams should work together in the interests of patients and to improve safety and quality of services. </w:t>
            </w:r>
          </w:p>
        </w:tc>
      </w:tr>
      <w:tr w:rsidR="005F70ED" w:rsidRPr="005A33E7" w14:paraId="0D6076D6" w14:textId="77777777" w:rsidTr="003A03B5">
        <w:trPr>
          <w:trHeight w:val="716"/>
        </w:trPr>
        <w:tc>
          <w:tcPr>
            <w:tcW w:w="1145" w:type="dxa"/>
          </w:tcPr>
          <w:p w14:paraId="100F2B7C" w14:textId="77777777" w:rsidR="005F70ED" w:rsidRPr="009B60B1" w:rsidRDefault="005F70ED">
            <w:pPr>
              <w:pStyle w:val="ListParagraph"/>
              <w:numPr>
                <w:ilvl w:val="0"/>
                <w:numId w:val="8"/>
              </w:numPr>
              <w:rPr>
                <w:rFonts w:cs="Tahoma"/>
                <w:sz w:val="24"/>
                <w:szCs w:val="24"/>
              </w:rPr>
            </w:pPr>
          </w:p>
        </w:tc>
        <w:tc>
          <w:tcPr>
            <w:tcW w:w="1979" w:type="dxa"/>
          </w:tcPr>
          <w:p w14:paraId="3103F503" w14:textId="77777777" w:rsidR="005F70ED" w:rsidRDefault="005F70ED" w:rsidP="00B93F1B">
            <w:pPr>
              <w:rPr>
                <w:rFonts w:cs="Tahoma"/>
              </w:rPr>
            </w:pPr>
            <w:r w:rsidRPr="005A33E7">
              <w:rPr>
                <w:rFonts w:cs="Tahoma"/>
              </w:rPr>
              <w:t>Safety and Quality</w:t>
            </w:r>
          </w:p>
          <w:p w14:paraId="7FDB3A12" w14:textId="77777777" w:rsidR="005F70ED" w:rsidRPr="00683398" w:rsidRDefault="005F70ED" w:rsidP="00B93F1B">
            <w:pPr>
              <w:rPr>
                <w:rFonts w:cs="Tahoma"/>
              </w:rPr>
            </w:pPr>
          </w:p>
          <w:p w14:paraId="184FB768" w14:textId="77777777" w:rsidR="005F70ED" w:rsidRPr="00683398" w:rsidRDefault="005F70ED" w:rsidP="00B93F1B">
            <w:pPr>
              <w:rPr>
                <w:rFonts w:cs="Tahoma"/>
              </w:rPr>
            </w:pPr>
          </w:p>
          <w:p w14:paraId="453BD5CA" w14:textId="77777777" w:rsidR="005F70ED" w:rsidRPr="00683398" w:rsidRDefault="005F70ED" w:rsidP="00B93F1B">
            <w:pPr>
              <w:rPr>
                <w:rFonts w:cs="Tahoma"/>
              </w:rPr>
            </w:pPr>
          </w:p>
        </w:tc>
        <w:tc>
          <w:tcPr>
            <w:tcW w:w="2825" w:type="dxa"/>
          </w:tcPr>
          <w:p w14:paraId="23858B63" w14:textId="77777777" w:rsidR="005F70ED" w:rsidRPr="005A33E7" w:rsidRDefault="73E1FFEE" w:rsidP="00B93F1B">
            <w:pPr>
              <w:rPr>
                <w:rFonts w:cs="Tahoma"/>
              </w:rPr>
            </w:pPr>
            <w:r w:rsidRPr="73E1FFEE">
              <w:rPr>
                <w:rFonts w:cs="Tahoma"/>
              </w:rPr>
              <w:lastRenderedPageBreak/>
              <w:t>Working with patients</w:t>
            </w:r>
          </w:p>
        </w:tc>
        <w:tc>
          <w:tcPr>
            <w:tcW w:w="3827" w:type="dxa"/>
          </w:tcPr>
          <w:p w14:paraId="5541291C" w14:textId="77777777" w:rsidR="005F70ED" w:rsidRDefault="005F70ED" w:rsidP="00B93F1B">
            <w:pPr>
              <w:spacing w:after="0" w:line="240" w:lineRule="auto"/>
            </w:pPr>
            <w:r>
              <w:t xml:space="preserve">Domain two is focused on working in partnership with patients. It describes the various elements (such as fairness, respect, communication, supported decision making) that </w:t>
            </w:r>
            <w:r>
              <w:lastRenderedPageBreak/>
              <w:t>go towards achieving this in practice.</w:t>
            </w:r>
          </w:p>
          <w:p w14:paraId="3FD2F056" w14:textId="77777777" w:rsidR="005F70ED" w:rsidRDefault="005F70ED" w:rsidP="00B93F1B">
            <w:pPr>
              <w:spacing w:after="0" w:line="240" w:lineRule="auto"/>
            </w:pPr>
          </w:p>
          <w:p w14:paraId="1A5AF2EE" w14:textId="77777777" w:rsidR="005F70ED" w:rsidRDefault="005F70ED" w:rsidP="00B93F1B">
            <w:pPr>
              <w:spacing w:after="0" w:line="240" w:lineRule="auto"/>
            </w:pPr>
            <w:r>
              <w:t>We believe that bringing all related content on this into one domain will give it more prominence</w:t>
            </w:r>
            <w:r w:rsidRPr="002A50A3">
              <w:t>.</w:t>
            </w:r>
          </w:p>
          <w:p w14:paraId="2E264637" w14:textId="77777777" w:rsidR="005F70ED" w:rsidRPr="005A33E7" w:rsidRDefault="005F70ED" w:rsidP="00B93F1B">
            <w:pPr>
              <w:spacing w:after="0" w:line="240" w:lineRule="auto"/>
              <w:rPr>
                <w:rFonts w:cs="Tahoma"/>
              </w:rPr>
            </w:pPr>
          </w:p>
        </w:tc>
      </w:tr>
      <w:tr w:rsidR="005F70ED" w:rsidRPr="005A33E7" w14:paraId="22E7DD04" w14:textId="77777777" w:rsidTr="003A03B5">
        <w:trPr>
          <w:trHeight w:val="947"/>
        </w:trPr>
        <w:tc>
          <w:tcPr>
            <w:tcW w:w="1145" w:type="dxa"/>
          </w:tcPr>
          <w:p w14:paraId="48BBB4D3" w14:textId="77777777" w:rsidR="005F70ED" w:rsidRPr="009B60B1" w:rsidRDefault="005F70ED">
            <w:pPr>
              <w:pStyle w:val="ListParagraph"/>
              <w:numPr>
                <w:ilvl w:val="0"/>
                <w:numId w:val="8"/>
              </w:numPr>
              <w:rPr>
                <w:rFonts w:cs="Tahoma"/>
                <w:sz w:val="24"/>
                <w:szCs w:val="24"/>
              </w:rPr>
            </w:pPr>
          </w:p>
        </w:tc>
        <w:tc>
          <w:tcPr>
            <w:tcW w:w="1979" w:type="dxa"/>
          </w:tcPr>
          <w:p w14:paraId="6414EE9F" w14:textId="77777777" w:rsidR="005F70ED" w:rsidRPr="005A33E7" w:rsidRDefault="005F70ED" w:rsidP="00B93F1B">
            <w:pPr>
              <w:rPr>
                <w:rFonts w:cs="Tahoma"/>
              </w:rPr>
            </w:pPr>
            <w:r w:rsidRPr="005A33E7">
              <w:rPr>
                <w:rFonts w:cs="Tahoma"/>
              </w:rPr>
              <w:t>Communication, partnership and teamwork</w:t>
            </w:r>
          </w:p>
        </w:tc>
        <w:tc>
          <w:tcPr>
            <w:tcW w:w="2825" w:type="dxa"/>
          </w:tcPr>
          <w:p w14:paraId="12134027" w14:textId="77777777" w:rsidR="005F70ED" w:rsidRPr="005A33E7" w:rsidRDefault="005F70ED" w:rsidP="00B93F1B">
            <w:pPr>
              <w:rPr>
                <w:rFonts w:cs="Tahoma"/>
              </w:rPr>
            </w:pPr>
            <w:r w:rsidRPr="005A33E7">
              <w:rPr>
                <w:rFonts w:cs="Tahoma"/>
              </w:rPr>
              <w:t>Professional capabilities</w:t>
            </w:r>
          </w:p>
        </w:tc>
        <w:tc>
          <w:tcPr>
            <w:tcW w:w="3827" w:type="dxa"/>
          </w:tcPr>
          <w:p w14:paraId="0790CB59" w14:textId="77777777" w:rsidR="005F70ED" w:rsidRDefault="005F70ED" w:rsidP="00B93F1B">
            <w:pPr>
              <w:spacing w:after="0" w:line="240" w:lineRule="auto"/>
            </w:pPr>
            <w:r>
              <w:t xml:space="preserve">Domain three now includes </w:t>
            </w:r>
            <w:r w:rsidRPr="002A50A3">
              <w:t xml:space="preserve">the whole range of professional capabilities that underpin </w:t>
            </w:r>
            <w:r>
              <w:t xml:space="preserve">all the duties in the other domains. </w:t>
            </w:r>
          </w:p>
          <w:p w14:paraId="58D5CB21" w14:textId="77777777" w:rsidR="005F70ED" w:rsidRDefault="005F70ED" w:rsidP="00B93F1B">
            <w:pPr>
              <w:spacing w:after="0" w:line="240" w:lineRule="auto"/>
            </w:pPr>
          </w:p>
          <w:p w14:paraId="1CDE9ADD" w14:textId="77777777" w:rsidR="005F70ED" w:rsidRPr="00967D21" w:rsidRDefault="005F70ED" w:rsidP="00B93F1B">
            <w:pPr>
              <w:spacing w:after="0" w:line="240" w:lineRule="auto"/>
            </w:pPr>
            <w:r>
              <w:t xml:space="preserve">As a result, it’s </w:t>
            </w:r>
            <w:r w:rsidRPr="002A50A3">
              <w:t>more expansive than the existing ‘knowledge and skills’ domain</w:t>
            </w:r>
            <w:r>
              <w:t xml:space="preserve">. It includes new </w:t>
            </w:r>
            <w:r w:rsidRPr="002A50A3">
              <w:t xml:space="preserve">duties such as self-reflection and demonstrating leadership as appropriate to a registrant’s role, </w:t>
            </w:r>
            <w:r>
              <w:t xml:space="preserve">as well as </w:t>
            </w:r>
            <w:r w:rsidRPr="002A50A3">
              <w:t>contributing to the development of others.</w:t>
            </w:r>
          </w:p>
        </w:tc>
      </w:tr>
      <w:tr w:rsidR="005F70ED" w:rsidRPr="005A33E7" w14:paraId="287F0C7D" w14:textId="77777777" w:rsidTr="003A03B5">
        <w:trPr>
          <w:trHeight w:val="463"/>
        </w:trPr>
        <w:tc>
          <w:tcPr>
            <w:tcW w:w="1145" w:type="dxa"/>
          </w:tcPr>
          <w:p w14:paraId="341695EE" w14:textId="77777777" w:rsidR="005F70ED" w:rsidRPr="009B60B1" w:rsidRDefault="005F70ED">
            <w:pPr>
              <w:pStyle w:val="ListParagraph"/>
              <w:numPr>
                <w:ilvl w:val="0"/>
                <w:numId w:val="8"/>
              </w:numPr>
              <w:rPr>
                <w:rFonts w:cs="Tahoma"/>
                <w:sz w:val="24"/>
                <w:szCs w:val="24"/>
              </w:rPr>
            </w:pPr>
          </w:p>
        </w:tc>
        <w:tc>
          <w:tcPr>
            <w:tcW w:w="1979" w:type="dxa"/>
          </w:tcPr>
          <w:p w14:paraId="61829D22" w14:textId="77777777" w:rsidR="005F70ED" w:rsidRPr="005A33E7" w:rsidRDefault="005F70ED" w:rsidP="00B93F1B">
            <w:pPr>
              <w:rPr>
                <w:rFonts w:cs="Tahoma"/>
              </w:rPr>
            </w:pPr>
            <w:r w:rsidRPr="005A33E7">
              <w:rPr>
                <w:rFonts w:cs="Tahoma"/>
              </w:rPr>
              <w:t xml:space="preserve">Maintaining trust </w:t>
            </w:r>
          </w:p>
        </w:tc>
        <w:tc>
          <w:tcPr>
            <w:tcW w:w="2825" w:type="dxa"/>
          </w:tcPr>
          <w:p w14:paraId="6AD2FABD" w14:textId="77777777" w:rsidR="005F70ED" w:rsidRPr="005A33E7" w:rsidRDefault="005F70ED" w:rsidP="00B93F1B">
            <w:pPr>
              <w:rPr>
                <w:rFonts w:cs="Tahoma"/>
              </w:rPr>
            </w:pPr>
            <w:r w:rsidRPr="005A33E7">
              <w:rPr>
                <w:rFonts w:cs="Tahoma"/>
              </w:rPr>
              <w:t>Maintaining trust</w:t>
            </w:r>
          </w:p>
        </w:tc>
        <w:tc>
          <w:tcPr>
            <w:tcW w:w="3827" w:type="dxa"/>
          </w:tcPr>
          <w:p w14:paraId="3AEA1940" w14:textId="77777777" w:rsidR="005F70ED" w:rsidRDefault="005F70ED" w:rsidP="00B93F1B">
            <w:pPr>
              <w:spacing w:after="0" w:line="240" w:lineRule="auto"/>
            </w:pPr>
            <w:r>
              <w:t xml:space="preserve">Domain four continues to focus on </w:t>
            </w:r>
            <w:r w:rsidRPr="002A50A3">
              <w:t>trust</w:t>
            </w:r>
            <w:r>
              <w:t xml:space="preserve">, because it’s fundamental to the role of medical professionals. </w:t>
            </w:r>
          </w:p>
          <w:p w14:paraId="41D77801" w14:textId="77777777" w:rsidR="005F70ED" w:rsidRDefault="005F70ED" w:rsidP="00B93F1B">
            <w:pPr>
              <w:spacing w:after="0" w:line="240" w:lineRule="auto"/>
            </w:pPr>
          </w:p>
          <w:p w14:paraId="02238A58" w14:textId="77777777" w:rsidR="005F70ED" w:rsidRPr="00967D21" w:rsidRDefault="005F70ED" w:rsidP="00B93F1B">
            <w:pPr>
              <w:spacing w:after="0" w:line="240" w:lineRule="auto"/>
            </w:pPr>
            <w:r>
              <w:t>We’ve made the fewest changes in this do</w:t>
            </w:r>
            <w:r w:rsidRPr="002A50A3">
              <w:t>mai</w:t>
            </w:r>
            <w:r>
              <w:t xml:space="preserve">n but have reviewed the ordering and added some new duties relating to sexual behaviours and communicating as a professional.  </w:t>
            </w:r>
          </w:p>
        </w:tc>
      </w:tr>
    </w:tbl>
    <w:p w14:paraId="5D2E664C" w14:textId="45E268E3" w:rsidR="6411DD7D" w:rsidRDefault="6411DD7D"/>
    <w:p w14:paraId="71BCBAA4" w14:textId="6D734FAF" w:rsidR="005F70ED" w:rsidRDefault="005F70ED" w:rsidP="005F70ED"/>
    <w:p w14:paraId="4CDEDE7D" w14:textId="77777777" w:rsidR="005F70ED" w:rsidRDefault="005F70ED" w:rsidP="005F70ED">
      <w:pPr>
        <w:pStyle w:val="GMCNumbertext"/>
        <w:numPr>
          <w:ilvl w:val="0"/>
          <w:numId w:val="1"/>
        </w:numPr>
      </w:pPr>
      <w:r w:rsidRPr="001C2556">
        <w:t>How far do you agree or disagree with these statements?</w:t>
      </w:r>
    </w:p>
    <w:tbl>
      <w:tblPr>
        <w:tblStyle w:val="TableGrid"/>
        <w:tblW w:w="9776" w:type="dxa"/>
        <w:tblLook w:val="04A0" w:firstRow="1" w:lastRow="0" w:firstColumn="1" w:lastColumn="0" w:noHBand="0" w:noVBand="1"/>
      </w:tblPr>
      <w:tblGrid>
        <w:gridCol w:w="2969"/>
        <w:gridCol w:w="1236"/>
        <w:gridCol w:w="1277"/>
        <w:gridCol w:w="1449"/>
        <w:gridCol w:w="1442"/>
        <w:gridCol w:w="1403"/>
      </w:tblGrid>
      <w:tr w:rsidR="005F70ED" w:rsidRPr="001C2556" w14:paraId="415CA82D" w14:textId="77777777" w:rsidTr="6411DD7D">
        <w:tc>
          <w:tcPr>
            <w:tcW w:w="2969" w:type="dxa"/>
          </w:tcPr>
          <w:p w14:paraId="1D0A36C2" w14:textId="77777777" w:rsidR="005F70ED" w:rsidRPr="001C2556" w:rsidRDefault="005F70ED" w:rsidP="00B93F1B">
            <w:pPr>
              <w:rPr>
                <w:b/>
                <w:bCs/>
              </w:rPr>
            </w:pPr>
            <w:r w:rsidRPr="001C2556">
              <w:rPr>
                <w:b/>
                <w:bCs/>
              </w:rPr>
              <w:t>Statement</w:t>
            </w:r>
          </w:p>
        </w:tc>
        <w:tc>
          <w:tcPr>
            <w:tcW w:w="1236" w:type="dxa"/>
          </w:tcPr>
          <w:p w14:paraId="2BE35FAF" w14:textId="24C7111C" w:rsidR="005F70ED" w:rsidRPr="001C2556" w:rsidRDefault="00FD4066" w:rsidP="00B93F1B">
            <w:pPr>
              <w:rPr>
                <w:b/>
                <w:bCs/>
              </w:rPr>
            </w:pPr>
            <w:r>
              <w:rPr>
                <w:b/>
                <w:bCs/>
              </w:rPr>
              <w:t>S</w:t>
            </w:r>
            <w:r w:rsidR="005F70ED" w:rsidRPr="001C2556">
              <w:rPr>
                <w:b/>
                <w:bCs/>
              </w:rPr>
              <w:t>trongly</w:t>
            </w:r>
            <w:r>
              <w:rPr>
                <w:b/>
                <w:bCs/>
              </w:rPr>
              <w:t xml:space="preserve"> agree</w:t>
            </w:r>
          </w:p>
        </w:tc>
        <w:tc>
          <w:tcPr>
            <w:tcW w:w="1277" w:type="dxa"/>
          </w:tcPr>
          <w:p w14:paraId="4CDA80AF" w14:textId="77777777" w:rsidR="005F70ED" w:rsidRPr="001C2556" w:rsidRDefault="005F70ED" w:rsidP="00B93F1B">
            <w:pPr>
              <w:rPr>
                <w:b/>
                <w:bCs/>
              </w:rPr>
            </w:pPr>
            <w:r w:rsidRPr="001C2556">
              <w:rPr>
                <w:b/>
                <w:bCs/>
              </w:rPr>
              <w:t>Agree</w:t>
            </w:r>
          </w:p>
        </w:tc>
        <w:tc>
          <w:tcPr>
            <w:tcW w:w="1449" w:type="dxa"/>
          </w:tcPr>
          <w:p w14:paraId="758797AE" w14:textId="77777777" w:rsidR="005F70ED" w:rsidRPr="001C2556" w:rsidRDefault="005F70ED" w:rsidP="00B93F1B">
            <w:pPr>
              <w:rPr>
                <w:b/>
                <w:bCs/>
              </w:rPr>
            </w:pPr>
            <w:r w:rsidRPr="001C2556">
              <w:rPr>
                <w:b/>
                <w:bCs/>
              </w:rPr>
              <w:t>Disagree</w:t>
            </w:r>
          </w:p>
        </w:tc>
        <w:tc>
          <w:tcPr>
            <w:tcW w:w="1442" w:type="dxa"/>
          </w:tcPr>
          <w:p w14:paraId="6DD2F3CE" w14:textId="026C23BF" w:rsidR="005F70ED" w:rsidRPr="001C2556" w:rsidRDefault="00FD4066" w:rsidP="00B93F1B">
            <w:pPr>
              <w:rPr>
                <w:b/>
                <w:bCs/>
              </w:rPr>
            </w:pPr>
            <w:r>
              <w:rPr>
                <w:b/>
                <w:bCs/>
              </w:rPr>
              <w:t>Strongly d</w:t>
            </w:r>
            <w:r w:rsidR="005F70ED" w:rsidRPr="001C2556">
              <w:rPr>
                <w:b/>
                <w:bCs/>
              </w:rPr>
              <w:t xml:space="preserve">isagree </w:t>
            </w:r>
          </w:p>
        </w:tc>
        <w:tc>
          <w:tcPr>
            <w:tcW w:w="1403" w:type="dxa"/>
          </w:tcPr>
          <w:p w14:paraId="50E020F1" w14:textId="77777777" w:rsidR="005F70ED" w:rsidRPr="001C2556" w:rsidRDefault="005F70ED" w:rsidP="00B93F1B">
            <w:pPr>
              <w:rPr>
                <w:b/>
                <w:bCs/>
              </w:rPr>
            </w:pPr>
            <w:r w:rsidRPr="001C2556">
              <w:rPr>
                <w:b/>
                <w:bCs/>
              </w:rPr>
              <w:t>Don’t know</w:t>
            </w:r>
          </w:p>
        </w:tc>
      </w:tr>
      <w:tr w:rsidR="005F70ED" w:rsidRPr="001C2556" w14:paraId="380F8408" w14:textId="77777777" w:rsidTr="6411DD7D">
        <w:tc>
          <w:tcPr>
            <w:tcW w:w="2969" w:type="dxa"/>
          </w:tcPr>
          <w:p w14:paraId="1AAC8C09" w14:textId="77777777" w:rsidR="005F70ED" w:rsidRPr="001C2556" w:rsidRDefault="005F70ED" w:rsidP="005F70ED">
            <w:pPr>
              <w:pStyle w:val="GMCA-Ztext"/>
              <w:numPr>
                <w:ilvl w:val="0"/>
                <w:numId w:val="2"/>
              </w:numPr>
            </w:pPr>
            <w:r w:rsidRPr="001C2556">
              <w:t>The amendments improve the current structure.</w:t>
            </w:r>
          </w:p>
          <w:p w14:paraId="6884E5E5" w14:textId="77777777" w:rsidR="005F70ED" w:rsidRPr="001C2556" w:rsidRDefault="005F70ED" w:rsidP="00B93F1B"/>
        </w:tc>
        <w:tc>
          <w:tcPr>
            <w:tcW w:w="1236" w:type="dxa"/>
          </w:tcPr>
          <w:p w14:paraId="4D747DF9" w14:textId="0AFD6712" w:rsidR="005F70ED" w:rsidRPr="0069736E" w:rsidRDefault="0069736E" w:rsidP="00B93F1B">
            <w:pPr>
              <w:rPr>
                <w:rFonts w:cs="Tahoma"/>
              </w:rPr>
            </w:pPr>
            <w:r w:rsidRPr="0069736E">
              <w:rPr>
                <w:rFonts w:ascii="Segoe UI Symbol" w:eastAsia="MS Gothic" w:hAnsi="Segoe UI Symbol" w:cs="Segoe UI Symbol"/>
              </w:rPr>
              <w:t>☐</w:t>
            </w:r>
            <w:r w:rsidRPr="0069736E">
              <w:rPr>
                <w:rFonts w:eastAsia="MS Gothic" w:cs="Tahoma"/>
              </w:rPr>
              <w:t xml:space="preserve"> </w:t>
            </w:r>
          </w:p>
        </w:tc>
        <w:tc>
          <w:tcPr>
            <w:tcW w:w="1277" w:type="dxa"/>
          </w:tcPr>
          <w:p w14:paraId="091195FF" w14:textId="6DB7376B" w:rsidR="005F70ED" w:rsidRPr="0069736E" w:rsidRDefault="00550993" w:rsidP="00B93F1B">
            <w:pPr>
              <w:rPr>
                <w:rFonts w:cs="Tahoma"/>
              </w:rPr>
            </w:pPr>
            <w:r>
              <w:rPr>
                <w:rFonts w:ascii="Segoe UI Symbol" w:eastAsia="MS Gothic" w:hAnsi="Segoe UI Symbol" w:cs="Segoe UI Symbol"/>
              </w:rPr>
              <w:t>x</w:t>
            </w:r>
          </w:p>
        </w:tc>
        <w:tc>
          <w:tcPr>
            <w:tcW w:w="1449" w:type="dxa"/>
          </w:tcPr>
          <w:p w14:paraId="02B417A1" w14:textId="0CA474FF" w:rsidR="005F70ED" w:rsidRPr="0069736E" w:rsidRDefault="007605B6" w:rsidP="00B93F1B">
            <w:pPr>
              <w:rPr>
                <w:rFonts w:cs="Tahoma"/>
              </w:rPr>
            </w:pPr>
            <w:r w:rsidRPr="0069736E">
              <w:rPr>
                <w:rFonts w:ascii="Segoe UI Symbol" w:eastAsia="MS Gothic" w:hAnsi="Segoe UI Symbol" w:cs="Segoe UI Symbol"/>
              </w:rPr>
              <w:t>☐</w:t>
            </w:r>
          </w:p>
        </w:tc>
        <w:tc>
          <w:tcPr>
            <w:tcW w:w="1442" w:type="dxa"/>
          </w:tcPr>
          <w:p w14:paraId="51FB339C" w14:textId="2C4967FB" w:rsidR="005F70ED" w:rsidRPr="0069736E" w:rsidRDefault="007605B6" w:rsidP="00B93F1B">
            <w:pPr>
              <w:rPr>
                <w:rFonts w:cs="Tahoma"/>
              </w:rPr>
            </w:pPr>
            <w:r w:rsidRPr="0069736E">
              <w:rPr>
                <w:rFonts w:ascii="Segoe UI Symbol" w:eastAsia="MS Gothic" w:hAnsi="Segoe UI Symbol" w:cs="Segoe UI Symbol"/>
              </w:rPr>
              <w:t>☐</w:t>
            </w:r>
          </w:p>
        </w:tc>
        <w:tc>
          <w:tcPr>
            <w:tcW w:w="1403" w:type="dxa"/>
          </w:tcPr>
          <w:p w14:paraId="2CF7C363" w14:textId="00024A68" w:rsidR="005F70ED" w:rsidRPr="0069736E" w:rsidRDefault="007605B6" w:rsidP="00B93F1B">
            <w:pPr>
              <w:rPr>
                <w:rFonts w:cs="Tahoma"/>
              </w:rPr>
            </w:pPr>
            <w:r w:rsidRPr="0069736E">
              <w:rPr>
                <w:rFonts w:ascii="Segoe UI Symbol" w:eastAsia="MS Gothic" w:hAnsi="Segoe UI Symbol" w:cs="Segoe UI Symbol"/>
              </w:rPr>
              <w:t>☐</w:t>
            </w:r>
          </w:p>
        </w:tc>
      </w:tr>
      <w:tr w:rsidR="005F70ED" w14:paraId="4CD8205A" w14:textId="77777777" w:rsidTr="6411DD7D">
        <w:tc>
          <w:tcPr>
            <w:tcW w:w="2969" w:type="dxa"/>
          </w:tcPr>
          <w:p w14:paraId="4649034B" w14:textId="77777777" w:rsidR="005F70ED" w:rsidRPr="001C2556" w:rsidRDefault="005F70ED" w:rsidP="00B93F1B">
            <w:pPr>
              <w:pStyle w:val="GMCA-Ztext"/>
              <w:numPr>
                <w:ilvl w:val="0"/>
                <w:numId w:val="2"/>
              </w:numPr>
            </w:pPr>
            <w:r w:rsidRPr="001C2556">
              <w:t xml:space="preserve">The revised domain headings </w:t>
            </w:r>
            <w:r w:rsidRPr="001C2556">
              <w:lastRenderedPageBreak/>
              <w:t xml:space="preserve">make the content more accessible. </w:t>
            </w:r>
          </w:p>
        </w:tc>
        <w:tc>
          <w:tcPr>
            <w:tcW w:w="1236" w:type="dxa"/>
          </w:tcPr>
          <w:p w14:paraId="7A102CA9" w14:textId="232B197F" w:rsidR="005F70ED" w:rsidRPr="0069736E" w:rsidRDefault="007605B6" w:rsidP="00B93F1B">
            <w:pPr>
              <w:rPr>
                <w:rFonts w:cs="Tahoma"/>
              </w:rPr>
            </w:pPr>
            <w:r w:rsidRPr="0069736E">
              <w:rPr>
                <w:rFonts w:ascii="Segoe UI Symbol" w:eastAsia="MS Gothic" w:hAnsi="Segoe UI Symbol" w:cs="Segoe UI Symbol"/>
              </w:rPr>
              <w:lastRenderedPageBreak/>
              <w:t>☐</w:t>
            </w:r>
          </w:p>
        </w:tc>
        <w:tc>
          <w:tcPr>
            <w:tcW w:w="1277" w:type="dxa"/>
          </w:tcPr>
          <w:p w14:paraId="598E361F" w14:textId="7B22C172" w:rsidR="005F70ED" w:rsidRPr="0069736E" w:rsidRDefault="00550993" w:rsidP="00B93F1B">
            <w:pPr>
              <w:rPr>
                <w:rFonts w:cs="Tahoma"/>
              </w:rPr>
            </w:pPr>
            <w:r>
              <w:rPr>
                <w:rFonts w:ascii="Segoe UI Symbol" w:eastAsia="MS Gothic" w:hAnsi="Segoe UI Symbol" w:cs="Segoe UI Symbol"/>
              </w:rPr>
              <w:t>x</w:t>
            </w:r>
          </w:p>
        </w:tc>
        <w:tc>
          <w:tcPr>
            <w:tcW w:w="1449" w:type="dxa"/>
          </w:tcPr>
          <w:p w14:paraId="3FBF1E4D" w14:textId="4FAC3410" w:rsidR="005F70ED" w:rsidRPr="0069736E" w:rsidRDefault="007605B6" w:rsidP="00B93F1B">
            <w:pPr>
              <w:rPr>
                <w:rFonts w:cs="Tahoma"/>
              </w:rPr>
            </w:pPr>
            <w:r w:rsidRPr="0069736E">
              <w:rPr>
                <w:rFonts w:ascii="Segoe UI Symbol" w:eastAsia="MS Gothic" w:hAnsi="Segoe UI Symbol" w:cs="Segoe UI Symbol"/>
              </w:rPr>
              <w:t>☐</w:t>
            </w:r>
          </w:p>
        </w:tc>
        <w:tc>
          <w:tcPr>
            <w:tcW w:w="1442" w:type="dxa"/>
          </w:tcPr>
          <w:p w14:paraId="21FA3E0D" w14:textId="71BE1551" w:rsidR="005F70ED" w:rsidRPr="0069736E" w:rsidRDefault="007605B6" w:rsidP="00B93F1B">
            <w:pPr>
              <w:rPr>
                <w:rFonts w:cs="Tahoma"/>
              </w:rPr>
            </w:pPr>
            <w:r w:rsidRPr="0069736E">
              <w:rPr>
                <w:rFonts w:ascii="Segoe UI Symbol" w:eastAsia="MS Gothic" w:hAnsi="Segoe UI Symbol" w:cs="Segoe UI Symbol"/>
              </w:rPr>
              <w:t>☐</w:t>
            </w:r>
          </w:p>
        </w:tc>
        <w:tc>
          <w:tcPr>
            <w:tcW w:w="1403" w:type="dxa"/>
          </w:tcPr>
          <w:p w14:paraId="182B368B" w14:textId="7C1F93B3" w:rsidR="005F70ED" w:rsidRPr="0069736E" w:rsidRDefault="007605B6" w:rsidP="00B93F1B">
            <w:pPr>
              <w:rPr>
                <w:rFonts w:cs="Tahoma"/>
              </w:rPr>
            </w:pPr>
            <w:r w:rsidRPr="0069736E">
              <w:rPr>
                <w:rFonts w:ascii="Segoe UI Symbol" w:eastAsia="MS Gothic" w:hAnsi="Segoe UI Symbol" w:cs="Segoe UI Symbol"/>
              </w:rPr>
              <w:t>☐</w:t>
            </w:r>
          </w:p>
        </w:tc>
      </w:tr>
    </w:tbl>
    <w:p w14:paraId="4EF28308" w14:textId="5A703F76" w:rsidR="6411DD7D" w:rsidRDefault="6411DD7D"/>
    <w:p w14:paraId="1A5DFCD5" w14:textId="77777777" w:rsidR="005F70ED" w:rsidRDefault="005F70ED" w:rsidP="005F70ED"/>
    <w:p w14:paraId="7693654E" w14:textId="0227AA28" w:rsidR="005F70ED" w:rsidRPr="001C2556" w:rsidRDefault="006E4C3D" w:rsidP="005F70ED">
      <w:pPr>
        <w:pStyle w:val="GMCNormalBold"/>
      </w:pPr>
      <w:r>
        <w:t xml:space="preserve"> </w:t>
      </w:r>
      <w:r w:rsidR="005F70ED" w:rsidRPr="001C2556">
        <w:t xml:space="preserve">Comments </w:t>
      </w:r>
      <w:r w:rsidR="005F70ED">
        <w:t>on structure</w:t>
      </w:r>
    </w:p>
    <w:tbl>
      <w:tblPr>
        <w:tblStyle w:val="TableGrid"/>
        <w:tblW w:w="0" w:type="auto"/>
        <w:tblLook w:val="04A0" w:firstRow="1" w:lastRow="0" w:firstColumn="1" w:lastColumn="0" w:noHBand="0" w:noVBand="1"/>
      </w:tblPr>
      <w:tblGrid>
        <w:gridCol w:w="9629"/>
      </w:tblGrid>
      <w:tr w:rsidR="005F70ED" w14:paraId="198F1FCF" w14:textId="77777777" w:rsidTr="6CBC285D">
        <w:tc>
          <w:tcPr>
            <w:tcW w:w="9629" w:type="dxa"/>
          </w:tcPr>
          <w:p w14:paraId="6D467096" w14:textId="04E99C24" w:rsidR="00941038" w:rsidRDefault="00941038" w:rsidP="00941038">
            <w:r>
              <w:t xml:space="preserve">The amended structure is helpful. However, although the “Background” section states that GMP applies to all doctors registered with the GMC, whether or not they routinely see patients, Domain 2 deals entirely with working in partnership </w:t>
            </w:r>
            <w:r w:rsidR="004C5BB5">
              <w:t xml:space="preserve">directly </w:t>
            </w:r>
            <w:r>
              <w:t xml:space="preserve">with individual patients. While acknowledging the importance of partnering with patients in supporting decision-making around care, </w:t>
            </w:r>
            <w:r w:rsidR="00742E86">
              <w:t>the Faculty of Pharmaceutical Medicine</w:t>
            </w:r>
            <w:r>
              <w:t xml:space="preserve"> </w:t>
            </w:r>
            <w:r w:rsidR="00742E86">
              <w:t xml:space="preserve">(FPM) </w:t>
            </w:r>
            <w:r>
              <w:t>consider</w:t>
            </w:r>
            <w:r w:rsidR="00742E86">
              <w:t>s</w:t>
            </w:r>
            <w:r>
              <w:t xml:space="preserve"> it essential that GMP also addresses the many GMC</w:t>
            </w:r>
            <w:r w:rsidR="005C1E98">
              <w:t>-</w:t>
            </w:r>
            <w:r>
              <w:t>registered medical professionals who do not have direct contact with individual patients</w:t>
            </w:r>
            <w:r w:rsidR="004C5BB5">
              <w:t>, such as pharmaceutical physicians.</w:t>
            </w:r>
          </w:p>
          <w:p w14:paraId="425A1E42" w14:textId="5AD2975D" w:rsidR="00941038" w:rsidRDefault="00742E86" w:rsidP="00941038">
            <w:pPr>
              <w:rPr>
                <w:color w:val="000000" w:themeColor="text1"/>
              </w:rPr>
            </w:pPr>
            <w:r>
              <w:t>FPM</w:t>
            </w:r>
            <w:r w:rsidR="00941038">
              <w:t xml:space="preserve"> would suggest retitling Domain 2 to “Working for and with patients”. This then introduces the element of patient-centric working as an important consideration for all doctors, including those who don’t work directly with patients. Many of the principles contained in the subsections of Domain 2 would be relevant to these doctors and would form a solid basis for appraisals and revalidation even if the details contained in some of the individual paragraphs may not be.</w:t>
            </w:r>
          </w:p>
          <w:p w14:paraId="164795E2" w14:textId="77777777" w:rsidR="00941038" w:rsidRDefault="00941038" w:rsidP="00941038">
            <w:pPr>
              <w:rPr>
                <w:color w:val="000000" w:themeColor="text1"/>
              </w:rPr>
            </w:pPr>
            <w:r>
              <w:rPr>
                <w:color w:val="000000" w:themeColor="text1"/>
              </w:rPr>
              <w:t>Re</w:t>
            </w:r>
            <w:r w:rsidRPr="0CC751EE">
              <w:rPr>
                <w:color w:val="000000" w:themeColor="text1"/>
              </w:rPr>
              <w:t>flect</w:t>
            </w:r>
            <w:r>
              <w:rPr>
                <w:color w:val="000000" w:themeColor="text1"/>
              </w:rPr>
              <w:t>ing</w:t>
            </w:r>
            <w:r w:rsidRPr="0CC751EE">
              <w:rPr>
                <w:color w:val="000000" w:themeColor="text1"/>
              </w:rPr>
              <w:t xml:space="preserve"> th</w:t>
            </w:r>
            <w:r>
              <w:rPr>
                <w:color w:val="000000" w:themeColor="text1"/>
              </w:rPr>
              <w:t>e</w:t>
            </w:r>
            <w:r w:rsidRPr="0CC751EE">
              <w:rPr>
                <w:color w:val="000000" w:themeColor="text1"/>
              </w:rPr>
              <w:t xml:space="preserve"> wider patient needs and that of public health should be taken into consideration for those who think more about populations of patients rather than</w:t>
            </w:r>
            <w:r>
              <w:rPr>
                <w:color w:val="000000" w:themeColor="text1"/>
              </w:rPr>
              <w:t xml:space="preserve"> </w:t>
            </w:r>
            <w:r w:rsidRPr="0CC751EE">
              <w:rPr>
                <w:color w:val="000000" w:themeColor="text1"/>
              </w:rPr>
              <w:t>individual</w:t>
            </w:r>
            <w:r>
              <w:rPr>
                <w:color w:val="000000" w:themeColor="text1"/>
              </w:rPr>
              <w:t>s</w:t>
            </w:r>
            <w:r w:rsidRPr="0CC751EE">
              <w:rPr>
                <w:color w:val="000000" w:themeColor="text1"/>
              </w:rPr>
              <w:t>. Many of the team</w:t>
            </w:r>
            <w:r>
              <w:rPr>
                <w:color w:val="000000" w:themeColor="text1"/>
              </w:rPr>
              <w:t>-</w:t>
            </w:r>
            <w:r w:rsidRPr="0CC751EE">
              <w:rPr>
                <w:color w:val="000000" w:themeColor="text1"/>
              </w:rPr>
              <w:t>working and handover aspects remain relevant to these responsibilities but could be slightly rephrased.</w:t>
            </w:r>
          </w:p>
          <w:p w14:paraId="534DB2A7" w14:textId="77777777" w:rsidR="00941038" w:rsidRDefault="00941038" w:rsidP="00941038">
            <w:pPr>
              <w:rPr>
                <w:color w:val="000000" w:themeColor="text1"/>
              </w:rPr>
            </w:pPr>
            <w:r w:rsidRPr="0CC751EE">
              <w:rPr>
                <w:color w:val="000000" w:themeColor="text1"/>
              </w:rPr>
              <w:t>For example, rather than just discussing provision of good clinical care (Para</w:t>
            </w:r>
            <w:r>
              <w:rPr>
                <w:color w:val="000000" w:themeColor="text1"/>
              </w:rPr>
              <w:t>graphs</w:t>
            </w:r>
            <w:r w:rsidRPr="0CC751EE">
              <w:rPr>
                <w:color w:val="000000" w:themeColor="text1"/>
              </w:rPr>
              <w:t xml:space="preserve"> 36 </w:t>
            </w:r>
            <w:r>
              <w:rPr>
                <w:color w:val="000000" w:themeColor="text1"/>
              </w:rPr>
              <w:t>-40</w:t>
            </w:r>
            <w:r w:rsidRPr="0CC751EE">
              <w:rPr>
                <w:color w:val="000000" w:themeColor="text1"/>
              </w:rPr>
              <w:t xml:space="preserve">), </w:t>
            </w:r>
            <w:r>
              <w:rPr>
                <w:color w:val="000000" w:themeColor="text1"/>
              </w:rPr>
              <w:t>an expectation that medical professionals should always consider the best interests of patients, and take steps to understand the patient perspective, would be relevant to all.</w:t>
            </w:r>
            <w:r w:rsidRPr="0CC751EE">
              <w:rPr>
                <w:color w:val="000000" w:themeColor="text1"/>
              </w:rPr>
              <w:t xml:space="preserve"> </w:t>
            </w:r>
          </w:p>
          <w:p w14:paraId="47A4D513" w14:textId="76CFC6C6" w:rsidR="00FC06BF" w:rsidRPr="00A9133D" w:rsidRDefault="00941038" w:rsidP="00941038">
            <w:r>
              <w:t xml:space="preserve">It is important that the requirements for revalidation should be able to fit around a final version that is formulated to be patient-centric and relevant for </w:t>
            </w:r>
            <w:r w:rsidRPr="00A9133D">
              <w:rPr>
                <w:u w:val="single"/>
              </w:rPr>
              <w:t>all</w:t>
            </w:r>
            <w:r>
              <w:t xml:space="preserve"> medical professionals.  </w:t>
            </w:r>
          </w:p>
        </w:tc>
      </w:tr>
    </w:tbl>
    <w:p w14:paraId="7BC4EDAC" w14:textId="28CA5509" w:rsidR="005F70ED" w:rsidRDefault="005F70ED" w:rsidP="005F70ED"/>
    <w:p w14:paraId="5ADCD0B3" w14:textId="77777777" w:rsidR="005F70ED" w:rsidRDefault="005F70ED" w:rsidP="005F70ED">
      <w:pPr>
        <w:pStyle w:val="Heading2"/>
      </w:pPr>
      <w:r>
        <w:t xml:space="preserve">Style and application </w:t>
      </w:r>
    </w:p>
    <w:p w14:paraId="6D6A3024" w14:textId="77777777" w:rsidR="005F70ED" w:rsidRDefault="005F70ED" w:rsidP="005F70ED">
      <w:r>
        <w:t>In our scoping and engagement activity, there was strong support for keeping the current style and level of detail in GMP. There was also support for the proposal that the core professional guidance should apply to each of the professional groups we regulate.</w:t>
      </w:r>
    </w:p>
    <w:p w14:paraId="1DC5BAC2" w14:textId="77777777" w:rsidR="005F70ED" w:rsidRDefault="005F70ED" w:rsidP="005F70ED">
      <w:r>
        <w:t xml:space="preserve">We propose to continue to:  </w:t>
      </w:r>
    </w:p>
    <w:p w14:paraId="459A6AAF" w14:textId="77777777" w:rsidR="005F70ED" w:rsidRDefault="005F70ED">
      <w:pPr>
        <w:pStyle w:val="ListBullet"/>
        <w:numPr>
          <w:ilvl w:val="0"/>
          <w:numId w:val="3"/>
        </w:numPr>
      </w:pPr>
      <w:r>
        <w:lastRenderedPageBreak/>
        <w:t xml:space="preserve">directly address people registered with us </w:t>
      </w:r>
    </w:p>
    <w:p w14:paraId="4FFB9CFB" w14:textId="77777777" w:rsidR="005F70ED" w:rsidRDefault="005F70ED">
      <w:pPr>
        <w:pStyle w:val="ListBullet"/>
        <w:numPr>
          <w:ilvl w:val="0"/>
          <w:numId w:val="3"/>
        </w:numPr>
      </w:pPr>
      <w:r>
        <w:t>have one set of core professional guidance for all medical professionals registered with us: in future this will include physician associates (PAs) and anaesthesia associates (AAs)</w:t>
      </w:r>
    </w:p>
    <w:p w14:paraId="02C2281F" w14:textId="11A044AF" w:rsidR="005F70ED" w:rsidRDefault="29F6B57D">
      <w:pPr>
        <w:pStyle w:val="ListBullet"/>
        <w:numPr>
          <w:ilvl w:val="0"/>
          <w:numId w:val="3"/>
        </w:numPr>
      </w:pPr>
      <w:r>
        <w:t xml:space="preserve">keep the guidance concise and express the guidance as </w:t>
      </w:r>
      <w:proofErr w:type="gramStart"/>
      <w:r>
        <w:t>high level</w:t>
      </w:r>
      <w:proofErr w:type="gramEnd"/>
      <w:r>
        <w:t xml:space="preserve"> principles and duties. More information on key topics will be given in the explanatory guidance and other supportive materials.</w:t>
      </w:r>
    </w:p>
    <w:p w14:paraId="6D89E60E" w14:textId="77777777" w:rsidR="005F70ED" w:rsidRDefault="005F70ED" w:rsidP="005F70ED">
      <w:pPr>
        <w:pStyle w:val="ListBullet"/>
        <w:numPr>
          <w:ilvl w:val="0"/>
          <w:numId w:val="0"/>
        </w:numPr>
      </w:pPr>
      <w:r>
        <w:t xml:space="preserve">We’ve adopted the term </w:t>
      </w:r>
      <w:r w:rsidRPr="00377443">
        <w:rPr>
          <w:b/>
          <w:bCs/>
        </w:rPr>
        <w:t>medical professionals</w:t>
      </w:r>
      <w:r>
        <w:t xml:space="preserve"> to describe all the professional groups we regulate. This is also the term that will be used in the legislation to bring PAs and AAs into regulation. </w:t>
      </w:r>
    </w:p>
    <w:p w14:paraId="5E4B9B27" w14:textId="77777777" w:rsidR="005F70ED" w:rsidRPr="00235486" w:rsidRDefault="005F70ED" w:rsidP="005F70ED">
      <w:pPr>
        <w:pStyle w:val="ListBullet"/>
        <w:numPr>
          <w:ilvl w:val="0"/>
          <w:numId w:val="0"/>
        </w:numPr>
        <w:rPr>
          <w:b/>
          <w:bCs/>
        </w:rPr>
      </w:pPr>
      <w:r w:rsidRPr="00826142">
        <w:rPr>
          <w:b/>
          <w:bCs/>
        </w:rPr>
        <w:t>We’d welcome your feedback on the style and application of the guidance.</w:t>
      </w:r>
      <w:r w:rsidRPr="00235486">
        <w:rPr>
          <w:b/>
          <w:bCs/>
        </w:rPr>
        <w:t xml:space="preserve"> </w:t>
      </w:r>
    </w:p>
    <w:p w14:paraId="158BFF83" w14:textId="77777777" w:rsidR="005F70ED" w:rsidRPr="00986BB1" w:rsidRDefault="005F70ED" w:rsidP="005F70ED">
      <w:pPr>
        <w:pStyle w:val="GMCNumbertext"/>
        <w:numPr>
          <w:ilvl w:val="0"/>
          <w:numId w:val="1"/>
        </w:numPr>
      </w:pPr>
      <w:r w:rsidRPr="00986BB1">
        <w:t xml:space="preserve">Comments </w:t>
      </w:r>
      <w:r>
        <w:t>on style and application</w:t>
      </w:r>
    </w:p>
    <w:tbl>
      <w:tblPr>
        <w:tblStyle w:val="TableGrid"/>
        <w:tblW w:w="0" w:type="auto"/>
        <w:tblLook w:val="04A0" w:firstRow="1" w:lastRow="0" w:firstColumn="1" w:lastColumn="0" w:noHBand="0" w:noVBand="1"/>
      </w:tblPr>
      <w:tblGrid>
        <w:gridCol w:w="9629"/>
      </w:tblGrid>
      <w:tr w:rsidR="005F70ED" w14:paraId="58B81BF3" w14:textId="77777777" w:rsidTr="5305D027">
        <w:tc>
          <w:tcPr>
            <w:tcW w:w="9629" w:type="dxa"/>
          </w:tcPr>
          <w:p w14:paraId="4D628C95" w14:textId="0AF31F8C" w:rsidR="005F70ED" w:rsidRPr="00116A4A" w:rsidRDefault="005F3C12" w:rsidP="00B93F1B">
            <w:r>
              <w:t>FPM</w:t>
            </w:r>
            <w:r w:rsidR="00B55E13" w:rsidRPr="00B55E13">
              <w:t xml:space="preserve"> agree</w:t>
            </w:r>
            <w:r>
              <w:t>s</w:t>
            </w:r>
            <w:r w:rsidR="00B55E13" w:rsidRPr="00B55E13">
              <w:t xml:space="preserve"> with</w:t>
            </w:r>
            <w:r w:rsidR="00B55E13">
              <w:t xml:space="preserve"> the </w:t>
            </w:r>
            <w:r w:rsidR="00F63C76">
              <w:t xml:space="preserve">proposed </w:t>
            </w:r>
            <w:r w:rsidR="00B55E13">
              <w:t>style</w:t>
            </w:r>
            <w:r w:rsidR="00F63C76">
              <w:t xml:space="preserve"> for the guidance.</w:t>
            </w:r>
            <w:r w:rsidR="00B55E13">
              <w:t xml:space="preserve"> </w:t>
            </w:r>
            <w:r w:rsidR="00F63C76">
              <w:t xml:space="preserve">The proposed </w:t>
            </w:r>
            <w:r w:rsidR="00B55E13">
              <w:t xml:space="preserve">application </w:t>
            </w:r>
            <w:r w:rsidR="00F63C76">
              <w:t>of the guidance to all medical professionals registered with the GMC is appropriate</w:t>
            </w:r>
            <w:r w:rsidR="00D42B1A">
              <w:t xml:space="preserve">. It </w:t>
            </w:r>
            <w:r w:rsidR="00664B7B">
              <w:t>is</w:t>
            </w:r>
            <w:r w:rsidR="00D42B1A">
              <w:t xml:space="preserve">, however, recognised that non-medically qualified professionals would be working under the supervision of a medically-qualified person and this should be duly reflected in the guidance. Currently </w:t>
            </w:r>
            <w:r w:rsidR="00116A4A">
              <w:t xml:space="preserve">paragraph 11 addresses delegating safely and appropriately in relation to tasks and duties. Other groups providing feedback </w:t>
            </w:r>
            <w:r w:rsidR="00664B7B">
              <w:t xml:space="preserve">to this consultation </w:t>
            </w:r>
            <w:r w:rsidR="00116A4A">
              <w:t>may be better placed to have a view on whether further guidance in relation to working with  non-medically qualified GMC-registered medical professionals should be added to this document or elsewhere.</w:t>
            </w:r>
          </w:p>
        </w:tc>
      </w:tr>
    </w:tbl>
    <w:p w14:paraId="2DFB415B" w14:textId="6DC53150" w:rsidR="00F069DE" w:rsidRPr="00F069DE" w:rsidRDefault="00F069DE" w:rsidP="00F069DE">
      <w:pPr>
        <w:pStyle w:val="Heading2"/>
      </w:pPr>
      <w:r w:rsidRPr="00F069DE">
        <w:t>Tone</w:t>
      </w:r>
    </w:p>
    <w:p w14:paraId="1B071A93" w14:textId="77777777" w:rsidR="00F069DE" w:rsidRDefault="00F069DE" w:rsidP="00F069DE">
      <w:r>
        <w:t xml:space="preserve">In our engagement activity, we heard that we should do more </w:t>
      </w:r>
      <w:r w:rsidRPr="00CD6DF8">
        <w:t>to</w:t>
      </w:r>
      <w:r>
        <w:t xml:space="preserve"> recognise the environments in which medical professionals work, provide more context for the duties, and make sure the guidance is seen as empowering and supportive of good practice. </w:t>
      </w:r>
    </w:p>
    <w:p w14:paraId="7A933D0F" w14:textId="77777777" w:rsidR="00F069DE" w:rsidRDefault="00F069DE" w:rsidP="00F069DE">
      <w:r>
        <w:t xml:space="preserve">We’ve introduced a more positive and empathetic tone to the guidance. For example, we’ve: </w:t>
      </w:r>
    </w:p>
    <w:p w14:paraId="7D9A6979" w14:textId="77777777" w:rsidR="00F069DE" w:rsidRDefault="00F069DE">
      <w:pPr>
        <w:pStyle w:val="ListBullet"/>
        <w:numPr>
          <w:ilvl w:val="0"/>
          <w:numId w:val="3"/>
        </w:numPr>
      </w:pPr>
      <w:r>
        <w:t>changed the introduction so that it focuses on how the professional guidance supports good practice, instead of what’s expected of medical professionals</w:t>
      </w:r>
      <w:bookmarkStart w:id="9" w:name="_Hlk95897584"/>
      <w:r>
        <w:t>.</w:t>
      </w:r>
    </w:p>
    <w:bookmarkEnd w:id="9"/>
    <w:p w14:paraId="27CD3F12" w14:textId="77777777" w:rsidR="00F069DE" w:rsidRDefault="00F069DE">
      <w:pPr>
        <w:pStyle w:val="ListBullet"/>
        <w:numPr>
          <w:ilvl w:val="0"/>
          <w:numId w:val="3"/>
        </w:numPr>
      </w:pPr>
      <w:r>
        <w:t xml:space="preserve">added new introductory text to each domain, to summarise the duties and describe the outcomes they’re trying to achieve. </w:t>
      </w:r>
    </w:p>
    <w:p w14:paraId="07F94F9D" w14:textId="77777777" w:rsidR="00F069DE" w:rsidRPr="0035315D" w:rsidRDefault="00F069DE" w:rsidP="00F069DE">
      <w:r>
        <w:t xml:space="preserve">We’ve asked for your views on these specific changes later in this survey. </w:t>
      </w:r>
    </w:p>
    <w:p w14:paraId="026FE4C0" w14:textId="77777777" w:rsidR="00F069DE" w:rsidRDefault="00F069DE" w:rsidP="00F069DE">
      <w:pPr>
        <w:pStyle w:val="GMCNumbertext"/>
        <w:numPr>
          <w:ilvl w:val="0"/>
          <w:numId w:val="1"/>
        </w:numPr>
      </w:pPr>
      <w:r>
        <w:lastRenderedPageBreak/>
        <w:t xml:space="preserve">How far do you agree or disagree that we’ve achieved a more empathetic tone overall? </w:t>
      </w:r>
    </w:p>
    <w:tbl>
      <w:tblPr>
        <w:tblStyle w:val="TableGrid"/>
        <w:tblW w:w="7582" w:type="dxa"/>
        <w:tblLook w:val="04A0" w:firstRow="1" w:lastRow="0" w:firstColumn="1" w:lastColumn="0" w:noHBand="0" w:noVBand="1"/>
      </w:tblPr>
      <w:tblGrid>
        <w:gridCol w:w="1534"/>
        <w:gridCol w:w="1482"/>
        <w:gridCol w:w="1546"/>
        <w:gridCol w:w="1546"/>
        <w:gridCol w:w="1474"/>
      </w:tblGrid>
      <w:tr w:rsidR="00F069DE" w:rsidRPr="0011618E" w14:paraId="56D30637" w14:textId="77777777" w:rsidTr="00B93F1B">
        <w:tc>
          <w:tcPr>
            <w:tcW w:w="1534" w:type="dxa"/>
          </w:tcPr>
          <w:p w14:paraId="19A73B65" w14:textId="74623FA6" w:rsidR="00F069DE" w:rsidRPr="0011618E" w:rsidRDefault="00FD4066" w:rsidP="00B93F1B">
            <w:pPr>
              <w:rPr>
                <w:b/>
                <w:bCs/>
              </w:rPr>
            </w:pPr>
            <w:r>
              <w:rPr>
                <w:b/>
                <w:bCs/>
              </w:rPr>
              <w:t>Stron</w:t>
            </w:r>
            <w:r w:rsidR="00F069DE" w:rsidRPr="0011618E">
              <w:rPr>
                <w:b/>
                <w:bCs/>
              </w:rPr>
              <w:t>gly</w:t>
            </w:r>
            <w:r>
              <w:rPr>
                <w:b/>
                <w:bCs/>
              </w:rPr>
              <w:t xml:space="preserve"> agree</w:t>
            </w:r>
          </w:p>
        </w:tc>
        <w:tc>
          <w:tcPr>
            <w:tcW w:w="1482" w:type="dxa"/>
          </w:tcPr>
          <w:p w14:paraId="3F9E5A86" w14:textId="77777777" w:rsidR="00F069DE" w:rsidRPr="0011618E" w:rsidRDefault="00F069DE" w:rsidP="00B93F1B">
            <w:pPr>
              <w:rPr>
                <w:b/>
                <w:bCs/>
              </w:rPr>
            </w:pPr>
            <w:r w:rsidRPr="0011618E">
              <w:rPr>
                <w:b/>
                <w:bCs/>
              </w:rPr>
              <w:t>Agree</w:t>
            </w:r>
          </w:p>
        </w:tc>
        <w:tc>
          <w:tcPr>
            <w:tcW w:w="1546" w:type="dxa"/>
          </w:tcPr>
          <w:p w14:paraId="3903A670" w14:textId="77777777" w:rsidR="00F069DE" w:rsidRPr="0011618E" w:rsidRDefault="00F069DE" w:rsidP="00B93F1B">
            <w:pPr>
              <w:rPr>
                <w:b/>
                <w:bCs/>
              </w:rPr>
            </w:pPr>
            <w:r w:rsidRPr="0011618E">
              <w:rPr>
                <w:b/>
                <w:bCs/>
              </w:rPr>
              <w:t xml:space="preserve">Disagree </w:t>
            </w:r>
          </w:p>
        </w:tc>
        <w:tc>
          <w:tcPr>
            <w:tcW w:w="1546" w:type="dxa"/>
          </w:tcPr>
          <w:p w14:paraId="5C14F5C5" w14:textId="4213DAC7" w:rsidR="00F069DE" w:rsidRPr="0011618E" w:rsidRDefault="00FD4066" w:rsidP="00B93F1B">
            <w:pPr>
              <w:rPr>
                <w:b/>
                <w:bCs/>
              </w:rPr>
            </w:pPr>
            <w:r>
              <w:rPr>
                <w:b/>
                <w:bCs/>
              </w:rPr>
              <w:t>S</w:t>
            </w:r>
            <w:r w:rsidR="00F069DE" w:rsidRPr="0011618E">
              <w:rPr>
                <w:b/>
                <w:bCs/>
              </w:rPr>
              <w:t>trongly</w:t>
            </w:r>
            <w:r>
              <w:rPr>
                <w:b/>
                <w:bCs/>
              </w:rPr>
              <w:t xml:space="preserve"> disagree</w:t>
            </w:r>
          </w:p>
        </w:tc>
        <w:tc>
          <w:tcPr>
            <w:tcW w:w="1474" w:type="dxa"/>
          </w:tcPr>
          <w:p w14:paraId="2B2573AA" w14:textId="77777777" w:rsidR="00F069DE" w:rsidRPr="0011618E" w:rsidRDefault="00F069DE" w:rsidP="00B93F1B">
            <w:pPr>
              <w:rPr>
                <w:b/>
                <w:bCs/>
              </w:rPr>
            </w:pPr>
            <w:r w:rsidRPr="0011618E">
              <w:rPr>
                <w:b/>
                <w:bCs/>
              </w:rPr>
              <w:t>Don’t know</w:t>
            </w:r>
          </w:p>
        </w:tc>
      </w:tr>
      <w:tr w:rsidR="00F069DE" w:rsidRPr="0011618E" w14:paraId="26CA1761" w14:textId="77777777" w:rsidTr="00B93F1B">
        <w:tc>
          <w:tcPr>
            <w:tcW w:w="1534" w:type="dxa"/>
          </w:tcPr>
          <w:p w14:paraId="78A2546D" w14:textId="34E039C8" w:rsidR="00F069DE" w:rsidRPr="00FF5E92" w:rsidRDefault="007605B6" w:rsidP="00B93F1B">
            <w:pPr>
              <w:rPr>
                <w:rFonts w:cs="Tahoma"/>
                <w:b/>
                <w:bCs/>
              </w:rPr>
            </w:pPr>
            <w:r w:rsidRPr="00FF5E92">
              <w:rPr>
                <w:rFonts w:ascii="Segoe UI Symbol" w:eastAsia="MS Gothic" w:hAnsi="Segoe UI Symbol" w:cs="Segoe UI Symbol"/>
                <w:b/>
                <w:bCs/>
              </w:rPr>
              <w:t>☐</w:t>
            </w:r>
            <w:r w:rsidR="001E381F">
              <w:rPr>
                <w:rFonts w:ascii="Segoe UI Symbol" w:eastAsia="MS Gothic" w:hAnsi="Segoe UI Symbol" w:cs="Segoe UI Symbol"/>
                <w:b/>
                <w:bCs/>
              </w:rPr>
              <w:t xml:space="preserve"> </w:t>
            </w:r>
          </w:p>
        </w:tc>
        <w:tc>
          <w:tcPr>
            <w:tcW w:w="1482" w:type="dxa"/>
          </w:tcPr>
          <w:p w14:paraId="068DE1BF" w14:textId="77976C6B" w:rsidR="00F069DE" w:rsidRPr="00FF5E92" w:rsidRDefault="001C1F45" w:rsidP="00B93F1B">
            <w:pPr>
              <w:rPr>
                <w:rFonts w:cs="Tahoma"/>
                <w:b/>
                <w:bCs/>
              </w:rPr>
            </w:pPr>
            <w:r>
              <w:rPr>
                <w:rFonts w:ascii="Segoe UI Symbol" w:eastAsia="MS Gothic" w:hAnsi="Segoe UI Symbol" w:cs="Segoe UI Symbol"/>
                <w:b/>
                <w:bCs/>
              </w:rPr>
              <w:t>x</w:t>
            </w:r>
          </w:p>
        </w:tc>
        <w:tc>
          <w:tcPr>
            <w:tcW w:w="1546" w:type="dxa"/>
          </w:tcPr>
          <w:p w14:paraId="0C1A1184" w14:textId="03B6B47B" w:rsidR="00F069DE" w:rsidRPr="00FF5E92" w:rsidRDefault="007605B6" w:rsidP="00B93F1B">
            <w:pPr>
              <w:rPr>
                <w:rFonts w:cs="Tahoma"/>
                <w:b/>
                <w:bCs/>
              </w:rPr>
            </w:pPr>
            <w:r w:rsidRPr="00FF5E92">
              <w:rPr>
                <w:rFonts w:ascii="Segoe UI Symbol" w:eastAsia="MS Gothic" w:hAnsi="Segoe UI Symbol" w:cs="Segoe UI Symbol"/>
                <w:b/>
                <w:bCs/>
              </w:rPr>
              <w:t>☐</w:t>
            </w:r>
          </w:p>
        </w:tc>
        <w:tc>
          <w:tcPr>
            <w:tcW w:w="1546" w:type="dxa"/>
          </w:tcPr>
          <w:p w14:paraId="5F1EA01C" w14:textId="3DC85DD1" w:rsidR="00F069DE" w:rsidRPr="00FF5E92" w:rsidRDefault="007605B6" w:rsidP="00B93F1B">
            <w:pPr>
              <w:rPr>
                <w:rFonts w:cs="Tahoma"/>
                <w:b/>
                <w:bCs/>
              </w:rPr>
            </w:pPr>
            <w:r w:rsidRPr="00FF5E92">
              <w:rPr>
                <w:rFonts w:ascii="Segoe UI Symbol" w:eastAsia="MS Gothic" w:hAnsi="Segoe UI Symbol" w:cs="Segoe UI Symbol"/>
                <w:b/>
                <w:bCs/>
              </w:rPr>
              <w:t>☐</w:t>
            </w:r>
          </w:p>
        </w:tc>
        <w:tc>
          <w:tcPr>
            <w:tcW w:w="1474" w:type="dxa"/>
          </w:tcPr>
          <w:p w14:paraId="34F143FD" w14:textId="48BEE1D9" w:rsidR="00F069DE" w:rsidRPr="00FF5E92" w:rsidRDefault="007605B6" w:rsidP="00B93F1B">
            <w:pPr>
              <w:rPr>
                <w:rFonts w:cs="Tahoma"/>
                <w:b/>
                <w:bCs/>
              </w:rPr>
            </w:pPr>
            <w:r w:rsidRPr="00FF5E92">
              <w:rPr>
                <w:rFonts w:ascii="Segoe UI Symbol" w:eastAsia="MS Gothic" w:hAnsi="Segoe UI Symbol" w:cs="Segoe UI Symbol"/>
                <w:b/>
                <w:bCs/>
              </w:rPr>
              <w:t>☐</w:t>
            </w:r>
          </w:p>
        </w:tc>
      </w:tr>
    </w:tbl>
    <w:p w14:paraId="31EFAF3E" w14:textId="77777777" w:rsidR="00F069DE" w:rsidRPr="00AE04D3" w:rsidRDefault="00F069DE" w:rsidP="00F069DE">
      <w:pPr>
        <w:pStyle w:val="GMCNormalBold"/>
      </w:pPr>
    </w:p>
    <w:p w14:paraId="5322B08B" w14:textId="77777777" w:rsidR="00F069DE" w:rsidRPr="00986BB1" w:rsidRDefault="00F069DE" w:rsidP="00F069DE">
      <w:pPr>
        <w:pStyle w:val="GMCNormalBold"/>
      </w:pPr>
      <w:r w:rsidRPr="00986BB1">
        <w:t xml:space="preserve">Comments on guidance tone </w:t>
      </w:r>
    </w:p>
    <w:tbl>
      <w:tblPr>
        <w:tblStyle w:val="TableGrid"/>
        <w:tblW w:w="0" w:type="auto"/>
        <w:tblInd w:w="510" w:type="dxa"/>
        <w:tblLook w:val="04A0" w:firstRow="1" w:lastRow="0" w:firstColumn="1" w:lastColumn="0" w:noHBand="0" w:noVBand="1"/>
      </w:tblPr>
      <w:tblGrid>
        <w:gridCol w:w="9119"/>
      </w:tblGrid>
      <w:tr w:rsidR="00F069DE" w14:paraId="6E6B9DC9" w14:textId="77777777" w:rsidTr="5305D027">
        <w:tc>
          <w:tcPr>
            <w:tcW w:w="9629" w:type="dxa"/>
          </w:tcPr>
          <w:p w14:paraId="66A1F61D" w14:textId="2AC16264" w:rsidR="00F069DE" w:rsidRPr="00DD4871" w:rsidRDefault="001C1F45" w:rsidP="00DD4871">
            <w:pPr>
              <w:pStyle w:val="GMCNumbertext"/>
              <w:numPr>
                <w:ilvl w:val="0"/>
                <w:numId w:val="0"/>
              </w:numPr>
            </w:pPr>
            <w:r w:rsidRPr="001C1F45">
              <w:t>Agree overall.</w:t>
            </w:r>
            <w:r>
              <w:t xml:space="preserve"> The introductory text is helpful in describing the objectives </w:t>
            </w:r>
            <w:r w:rsidR="001904A0">
              <w:t xml:space="preserve">behind the </w:t>
            </w:r>
            <w:r>
              <w:t>inclu</w:t>
            </w:r>
            <w:r w:rsidR="001904A0">
              <w:t>sion of</w:t>
            </w:r>
            <w:r>
              <w:t xml:space="preserve"> that particular domain and this should </w:t>
            </w:r>
            <w:r w:rsidR="00447B77">
              <w:t>assist in applying the guidance to a broad range of working environments including situations which are not directly patient-facing.</w:t>
            </w:r>
          </w:p>
        </w:tc>
      </w:tr>
    </w:tbl>
    <w:p w14:paraId="31910D66" w14:textId="77777777" w:rsidR="00F069DE" w:rsidRDefault="00F069DE" w:rsidP="00F069DE">
      <w:pPr>
        <w:pStyle w:val="GMCNumbertext"/>
        <w:numPr>
          <w:ilvl w:val="0"/>
          <w:numId w:val="0"/>
        </w:numPr>
        <w:ind w:left="510" w:hanging="510"/>
        <w:rPr>
          <w:highlight w:val="yellow"/>
        </w:rPr>
      </w:pPr>
    </w:p>
    <w:p w14:paraId="24BBD2C1" w14:textId="77777777" w:rsidR="00F069DE" w:rsidRDefault="00F069DE" w:rsidP="00F069DE">
      <w:pPr>
        <w:pStyle w:val="GMCNormalBold"/>
        <w:rPr>
          <w:highlight w:val="yellow"/>
        </w:rPr>
      </w:pPr>
      <w:r>
        <w:t xml:space="preserve">We’d also encourage you to consider the structure, style and application, and tone of the updated guidance as you answer the rest of the survey questions.   </w:t>
      </w:r>
    </w:p>
    <w:p w14:paraId="549101A4" w14:textId="77777777" w:rsidR="00F069DE" w:rsidRDefault="00F069DE" w:rsidP="00F069DE">
      <w:pPr>
        <w:spacing w:after="0" w:line="240" w:lineRule="auto"/>
        <w:rPr>
          <w:rFonts w:cs="Arial"/>
          <w:b/>
          <w:bCs/>
          <w:color w:val="30A5BE"/>
          <w:kern w:val="32"/>
          <w:sz w:val="40"/>
          <w:szCs w:val="32"/>
        </w:rPr>
      </w:pPr>
      <w:r>
        <w:br w:type="page"/>
      </w:r>
    </w:p>
    <w:p w14:paraId="1962B500" w14:textId="77777777" w:rsidR="00F069DE" w:rsidRPr="001C2556" w:rsidRDefault="00F069DE" w:rsidP="00F069DE">
      <w:pPr>
        <w:pStyle w:val="Heading1"/>
      </w:pPr>
      <w:r>
        <w:lastRenderedPageBreak/>
        <w:t xml:space="preserve">Equality, diversity, and inclusion </w:t>
      </w:r>
    </w:p>
    <w:p w14:paraId="7AC68C4D" w14:textId="77777777" w:rsidR="00F069DE" w:rsidRDefault="00F069DE" w:rsidP="00F069DE">
      <w:pPr>
        <w:rPr>
          <w:rFonts w:cs="Tahoma"/>
        </w:rPr>
      </w:pPr>
      <w:r>
        <w:rPr>
          <w:rFonts w:cs="Tahoma"/>
        </w:rPr>
        <w:t>A key aim of this review is to identify ways in which the guidance, or its interpretation in practice, may have adverse impacts on people who share protected characteristics.</w:t>
      </w:r>
      <w:r w:rsidRPr="002E0082">
        <w:rPr>
          <w:rFonts w:cs="Tahoma"/>
        </w:rPr>
        <w:t xml:space="preserve"> </w:t>
      </w:r>
      <w:r>
        <w:rPr>
          <w:rFonts w:cs="Tahoma"/>
        </w:rPr>
        <w:t xml:space="preserve">We’ve also tried to identify ways the guidance might help to advance equality, diversity, and inclusion. </w:t>
      </w:r>
    </w:p>
    <w:p w14:paraId="2E0154DE" w14:textId="77777777" w:rsidR="00F069DE" w:rsidRPr="002E0082" w:rsidRDefault="00F069DE" w:rsidP="00F069DE">
      <w:pPr>
        <w:rPr>
          <w:rFonts w:eastAsiaTheme="minorHAnsi" w:cs="Tahoma"/>
        </w:rPr>
      </w:pPr>
      <w:r>
        <w:rPr>
          <w:rFonts w:cs="Tahoma"/>
        </w:rPr>
        <w:t>We’ve considered a range of inequalities and disadvantages experienced by medical professionals, patients and other service users. As well as protected characteristics recognised in law, we’ve considered socio-economic status as a driver of inequalities in healthcare, both for patients and for medical professionals (recognising that this is a duty for public authorities in Scotland and Wales). We also identified that a medical professional’s primary medical qualification can be a factor in experiencing inequalities and unfair treatment.</w:t>
      </w:r>
    </w:p>
    <w:p w14:paraId="04219BE6" w14:textId="77777777" w:rsidR="00F069DE" w:rsidRDefault="00F069DE" w:rsidP="00F069DE">
      <w:pPr>
        <w:rPr>
          <w:rFonts w:cs="Tahoma"/>
        </w:rPr>
      </w:pPr>
      <w:r>
        <w:rPr>
          <w:rFonts w:cs="Tahoma"/>
        </w:rPr>
        <w:t xml:space="preserve">We’ve made changes throughout GMP to emphasise the responsibilities of medical professionals, and the organisations they work in, to tackle discrimination and bias, and positively promote equality, diversity and inclusion, for the benefit of all healthcare workers, patients and other service users. </w:t>
      </w:r>
    </w:p>
    <w:p w14:paraId="18667277" w14:textId="77777777" w:rsidR="00F069DE" w:rsidRDefault="00F069DE" w:rsidP="00F069DE">
      <w:pPr>
        <w:rPr>
          <w:rFonts w:cs="Tahoma"/>
        </w:rPr>
      </w:pPr>
      <w:r>
        <w:rPr>
          <w:rFonts w:cs="Tahoma"/>
        </w:rPr>
        <w:t xml:space="preserve">For example, we’ve included a new </w:t>
      </w:r>
      <w:r>
        <w:rPr>
          <w:lang w:val="en"/>
        </w:rPr>
        <w:t>duty for</w:t>
      </w:r>
      <w:r w:rsidRPr="00992DCC">
        <w:rPr>
          <w:lang w:val="en"/>
        </w:rPr>
        <w:t xml:space="preserve"> </w:t>
      </w:r>
      <w:r>
        <w:t xml:space="preserve">medical professionals to </w:t>
      </w:r>
      <w:r w:rsidRPr="001E002F">
        <w:t xml:space="preserve">consider </w:t>
      </w:r>
      <w:r>
        <w:t xml:space="preserve">how their </w:t>
      </w:r>
      <w:r w:rsidRPr="001E002F">
        <w:t xml:space="preserve">personal beliefs, views and biases </w:t>
      </w:r>
      <w:r>
        <w:t>may affect</w:t>
      </w:r>
      <w:r w:rsidRPr="001E002F">
        <w:t xml:space="preserve"> colleagues and patients</w:t>
      </w:r>
      <w:r>
        <w:t>.</w:t>
      </w:r>
      <w:r>
        <w:rPr>
          <w:rFonts w:cs="Tahoma"/>
        </w:rPr>
        <w:t xml:space="preserve"> We’ve also emphasised further the</w:t>
      </w:r>
      <w:r w:rsidRPr="00C20555">
        <w:t xml:space="preserve"> </w:t>
      </w:r>
      <w:r>
        <w:t xml:space="preserve">responsibility of medical professionals to treat patients as individuals and to support them to make decisions for themselves if they are able to. </w:t>
      </w:r>
      <w:r>
        <w:rPr>
          <w:rFonts w:cs="Tahoma"/>
        </w:rPr>
        <w:t xml:space="preserve">We’ve asked questions about these duties in the later parts of the survey. </w:t>
      </w:r>
    </w:p>
    <w:p w14:paraId="2D4203A4" w14:textId="77777777" w:rsidR="00F069DE" w:rsidRDefault="00F069DE" w:rsidP="00F069DE">
      <w:pPr>
        <w:rPr>
          <w:rFonts w:cs="Tahoma"/>
        </w:rPr>
      </w:pPr>
      <w:r>
        <w:rPr>
          <w:rFonts w:cs="Tahoma"/>
        </w:rPr>
        <w:t xml:space="preserve">There may also be a tension between the need to set professional standards that establish norms of conduct and practice expected of </w:t>
      </w:r>
      <w:r>
        <w:rPr>
          <w:rFonts w:cs="Tahoma"/>
          <w:b/>
          <w:bCs/>
        </w:rPr>
        <w:t xml:space="preserve">all </w:t>
      </w:r>
      <w:r>
        <w:rPr>
          <w:rFonts w:cs="Tahoma"/>
        </w:rPr>
        <w:t xml:space="preserve">professionals registered with us, and our aim to make sure the standards connect with the diverse backgrounds, perspectives and interests of those on our register. </w:t>
      </w:r>
    </w:p>
    <w:p w14:paraId="58927E32" w14:textId="1A6AA280" w:rsidR="00F069DE" w:rsidRPr="007E72D8" w:rsidRDefault="00F069DE" w:rsidP="00F069DE">
      <w:bookmarkStart w:id="10" w:name="_Hlk96505016"/>
      <w:r w:rsidRPr="002E0082">
        <w:t>We’d like to understand whether</w:t>
      </w:r>
      <w:r>
        <w:t>,</w:t>
      </w:r>
      <w:r w:rsidRPr="002E0082">
        <w:t xml:space="preserve"> and how</w:t>
      </w:r>
      <w:r>
        <w:t>,</w:t>
      </w:r>
      <w:r w:rsidRPr="002E0082">
        <w:t xml:space="preserve"> the updated guidance</w:t>
      </w:r>
      <w:r>
        <w:t xml:space="preserve"> </w:t>
      </w:r>
      <w:r w:rsidRPr="002E0082">
        <w:t xml:space="preserve">could be interpreted </w:t>
      </w:r>
      <w:r>
        <w:t xml:space="preserve">or used to </w:t>
      </w:r>
      <w:r w:rsidRPr="002E0082">
        <w:t xml:space="preserve">support biased and unfair judgements about the conduct or practice of medical professionals who share protected characteristics. </w:t>
      </w:r>
      <w:r>
        <w:t xml:space="preserve">For example, could any parts of the guidance be open to interpretation to the extent that it could contribute to the </w:t>
      </w:r>
      <w:r w:rsidRPr="005B6456">
        <w:t xml:space="preserve">disproportionate fitness to practise referrals of </w:t>
      </w:r>
      <w:r>
        <w:t xml:space="preserve">black and </w:t>
      </w:r>
      <w:r w:rsidRPr="005B6456">
        <w:t xml:space="preserve">ethnic minority </w:t>
      </w:r>
      <w:r w:rsidR="007839E0">
        <w:t>medical professionals</w:t>
      </w:r>
      <w:r w:rsidRPr="005B6456">
        <w:t xml:space="preserve"> from employers</w:t>
      </w:r>
      <w:r>
        <w:t xml:space="preserve">, or support biased and unfair judgements in appraisals or other local processes? If so, which parts? </w:t>
      </w:r>
    </w:p>
    <w:bookmarkEnd w:id="10"/>
    <w:p w14:paraId="07003948" w14:textId="77777777" w:rsidR="00F069DE" w:rsidRPr="00077923" w:rsidRDefault="00F069DE" w:rsidP="00F069DE">
      <w:pPr>
        <w:rPr>
          <w:b/>
          <w:bCs/>
        </w:rPr>
      </w:pPr>
      <w:r w:rsidRPr="00077923">
        <w:rPr>
          <w:b/>
          <w:bCs/>
        </w:rPr>
        <w:t xml:space="preserve">We’d also like your views on the potential impact of this guidance on people who share protected characteristics under the </w:t>
      </w:r>
      <w:r w:rsidRPr="00077923">
        <w:rPr>
          <w:b/>
          <w:bCs/>
          <w:i/>
        </w:rPr>
        <w:t>Equality Act 2010</w:t>
      </w:r>
      <w:r>
        <w:rPr>
          <w:rStyle w:val="FootnoteReference"/>
          <w:b/>
          <w:bCs/>
          <w:i/>
        </w:rPr>
        <w:footnoteReference w:id="4"/>
      </w:r>
      <w:r w:rsidRPr="00077923">
        <w:rPr>
          <w:b/>
          <w:bCs/>
        </w:rPr>
        <w:t xml:space="preserve"> (the protected characteristics are race, disability, age, sex, gender reassignment, </w:t>
      </w:r>
      <w:r w:rsidRPr="00077923">
        <w:rPr>
          <w:b/>
          <w:bCs/>
        </w:rPr>
        <w:lastRenderedPageBreak/>
        <w:t xml:space="preserve">sexual orientation, religion and belief, pregnancy and maternity and marriage and civil partnership). </w:t>
      </w:r>
    </w:p>
    <w:p w14:paraId="2EA22EF6" w14:textId="77777777" w:rsidR="00F069DE" w:rsidRDefault="00F069DE" w:rsidP="00F069DE">
      <w:pPr>
        <w:pStyle w:val="GMCNumbertext"/>
        <w:numPr>
          <w:ilvl w:val="0"/>
          <w:numId w:val="1"/>
        </w:numPr>
        <w:rPr>
          <w:bCs/>
        </w:rPr>
      </w:pPr>
      <w:r>
        <w:rPr>
          <w:bCs/>
        </w:rPr>
        <w:t xml:space="preserve">How far do you agree or disagree that the changes could help tackle discrimination and achieve inclusivity, equity and fairness overall? </w:t>
      </w:r>
    </w:p>
    <w:tbl>
      <w:tblPr>
        <w:tblStyle w:val="TableGrid"/>
        <w:tblW w:w="7582" w:type="dxa"/>
        <w:tblLook w:val="04A0" w:firstRow="1" w:lastRow="0" w:firstColumn="1" w:lastColumn="0" w:noHBand="0" w:noVBand="1"/>
      </w:tblPr>
      <w:tblGrid>
        <w:gridCol w:w="1534"/>
        <w:gridCol w:w="1482"/>
        <w:gridCol w:w="1546"/>
        <w:gridCol w:w="1546"/>
        <w:gridCol w:w="1474"/>
      </w:tblGrid>
      <w:tr w:rsidR="00F069DE" w:rsidRPr="0011618E" w14:paraId="59FED27F" w14:textId="77777777" w:rsidTr="00B93F1B">
        <w:tc>
          <w:tcPr>
            <w:tcW w:w="1534" w:type="dxa"/>
          </w:tcPr>
          <w:p w14:paraId="1EF068DD" w14:textId="2CDF93E2" w:rsidR="00F069DE" w:rsidRPr="0011618E" w:rsidRDefault="00FD4066" w:rsidP="00B93F1B">
            <w:pPr>
              <w:rPr>
                <w:b/>
                <w:bCs/>
              </w:rPr>
            </w:pPr>
            <w:r>
              <w:rPr>
                <w:b/>
                <w:bCs/>
              </w:rPr>
              <w:t>S</w:t>
            </w:r>
            <w:r w:rsidR="00F069DE" w:rsidRPr="0011618E">
              <w:rPr>
                <w:b/>
                <w:bCs/>
              </w:rPr>
              <w:t>trongly</w:t>
            </w:r>
            <w:r>
              <w:rPr>
                <w:b/>
                <w:bCs/>
              </w:rPr>
              <w:t xml:space="preserve"> agree</w:t>
            </w:r>
          </w:p>
        </w:tc>
        <w:tc>
          <w:tcPr>
            <w:tcW w:w="1482" w:type="dxa"/>
          </w:tcPr>
          <w:p w14:paraId="07F3A36E" w14:textId="77777777" w:rsidR="00F069DE" w:rsidRPr="0011618E" w:rsidRDefault="00F069DE" w:rsidP="00B93F1B">
            <w:pPr>
              <w:rPr>
                <w:b/>
                <w:bCs/>
              </w:rPr>
            </w:pPr>
            <w:r w:rsidRPr="0011618E">
              <w:rPr>
                <w:b/>
                <w:bCs/>
              </w:rPr>
              <w:t>Agree</w:t>
            </w:r>
          </w:p>
        </w:tc>
        <w:tc>
          <w:tcPr>
            <w:tcW w:w="1546" w:type="dxa"/>
          </w:tcPr>
          <w:p w14:paraId="28D16ED5" w14:textId="77777777" w:rsidR="00F069DE" w:rsidRPr="0011618E" w:rsidRDefault="00F069DE" w:rsidP="00B93F1B">
            <w:pPr>
              <w:rPr>
                <w:b/>
                <w:bCs/>
              </w:rPr>
            </w:pPr>
            <w:r w:rsidRPr="0011618E">
              <w:rPr>
                <w:b/>
                <w:bCs/>
              </w:rPr>
              <w:t xml:space="preserve">Disagree </w:t>
            </w:r>
          </w:p>
        </w:tc>
        <w:tc>
          <w:tcPr>
            <w:tcW w:w="1546" w:type="dxa"/>
          </w:tcPr>
          <w:p w14:paraId="059599E1" w14:textId="741391FF" w:rsidR="00F069DE" w:rsidRPr="0011618E" w:rsidRDefault="00FD4066" w:rsidP="00B93F1B">
            <w:pPr>
              <w:rPr>
                <w:b/>
                <w:bCs/>
              </w:rPr>
            </w:pPr>
            <w:r>
              <w:rPr>
                <w:b/>
                <w:bCs/>
              </w:rPr>
              <w:t>S</w:t>
            </w:r>
            <w:r w:rsidR="00F069DE" w:rsidRPr="0011618E">
              <w:rPr>
                <w:b/>
                <w:bCs/>
              </w:rPr>
              <w:t>trongly</w:t>
            </w:r>
            <w:r>
              <w:rPr>
                <w:b/>
                <w:bCs/>
              </w:rPr>
              <w:t xml:space="preserve"> disagree</w:t>
            </w:r>
          </w:p>
        </w:tc>
        <w:tc>
          <w:tcPr>
            <w:tcW w:w="1474" w:type="dxa"/>
          </w:tcPr>
          <w:p w14:paraId="573CFE91" w14:textId="77777777" w:rsidR="00F069DE" w:rsidRPr="0011618E" w:rsidRDefault="00F069DE" w:rsidP="00B93F1B">
            <w:pPr>
              <w:rPr>
                <w:b/>
                <w:bCs/>
              </w:rPr>
            </w:pPr>
            <w:r w:rsidRPr="0011618E">
              <w:rPr>
                <w:b/>
                <w:bCs/>
              </w:rPr>
              <w:t>Don’t know</w:t>
            </w:r>
          </w:p>
        </w:tc>
      </w:tr>
      <w:tr w:rsidR="00F069DE" w:rsidRPr="0011618E" w14:paraId="4C294E9C" w14:textId="77777777" w:rsidTr="00B93F1B">
        <w:tc>
          <w:tcPr>
            <w:tcW w:w="1534" w:type="dxa"/>
          </w:tcPr>
          <w:p w14:paraId="1FDE3977" w14:textId="7EDAC97E" w:rsidR="00F069DE" w:rsidRPr="00FF5E92" w:rsidRDefault="007605B6" w:rsidP="00B93F1B">
            <w:pPr>
              <w:rPr>
                <w:rFonts w:cs="Tahoma"/>
                <w:b/>
                <w:bCs/>
              </w:rPr>
            </w:pPr>
            <w:r w:rsidRPr="00FF5E92">
              <w:rPr>
                <w:rFonts w:ascii="Segoe UI Symbol" w:eastAsia="MS Gothic" w:hAnsi="Segoe UI Symbol" w:cs="Segoe UI Symbol"/>
                <w:b/>
                <w:bCs/>
              </w:rPr>
              <w:t>☐</w:t>
            </w:r>
          </w:p>
        </w:tc>
        <w:tc>
          <w:tcPr>
            <w:tcW w:w="1482" w:type="dxa"/>
          </w:tcPr>
          <w:p w14:paraId="2B4F5037" w14:textId="507BA180" w:rsidR="00F069DE" w:rsidRPr="00FF5E92" w:rsidRDefault="001904A0" w:rsidP="00B93F1B">
            <w:pPr>
              <w:rPr>
                <w:rFonts w:cs="Tahoma"/>
                <w:b/>
                <w:bCs/>
              </w:rPr>
            </w:pPr>
            <w:r>
              <w:rPr>
                <w:rFonts w:ascii="Segoe UI Symbol" w:eastAsia="MS Gothic" w:hAnsi="Segoe UI Symbol" w:cs="Segoe UI Symbol"/>
                <w:b/>
                <w:bCs/>
              </w:rPr>
              <w:t>x</w:t>
            </w:r>
          </w:p>
        </w:tc>
        <w:tc>
          <w:tcPr>
            <w:tcW w:w="1546" w:type="dxa"/>
          </w:tcPr>
          <w:p w14:paraId="1CC51A7C" w14:textId="6EF36DD8" w:rsidR="00F069DE" w:rsidRPr="00FF5E92" w:rsidRDefault="007605B6" w:rsidP="00B93F1B">
            <w:pPr>
              <w:rPr>
                <w:rFonts w:cs="Tahoma"/>
                <w:b/>
                <w:bCs/>
              </w:rPr>
            </w:pPr>
            <w:r w:rsidRPr="00FF5E92">
              <w:rPr>
                <w:rFonts w:ascii="Segoe UI Symbol" w:eastAsia="MS Gothic" w:hAnsi="Segoe UI Symbol" w:cs="Segoe UI Symbol"/>
                <w:b/>
                <w:bCs/>
              </w:rPr>
              <w:t>☐</w:t>
            </w:r>
          </w:p>
        </w:tc>
        <w:tc>
          <w:tcPr>
            <w:tcW w:w="1546" w:type="dxa"/>
          </w:tcPr>
          <w:p w14:paraId="5095CBFB" w14:textId="3D76DEDB" w:rsidR="00F069DE" w:rsidRPr="00FF5E92" w:rsidRDefault="007605B6" w:rsidP="00B93F1B">
            <w:pPr>
              <w:rPr>
                <w:rFonts w:cs="Tahoma"/>
                <w:b/>
                <w:bCs/>
              </w:rPr>
            </w:pPr>
            <w:r w:rsidRPr="00FF5E92">
              <w:rPr>
                <w:rFonts w:ascii="Segoe UI Symbol" w:eastAsia="MS Gothic" w:hAnsi="Segoe UI Symbol" w:cs="Segoe UI Symbol"/>
                <w:b/>
                <w:bCs/>
              </w:rPr>
              <w:t>☐</w:t>
            </w:r>
          </w:p>
        </w:tc>
        <w:tc>
          <w:tcPr>
            <w:tcW w:w="1474" w:type="dxa"/>
          </w:tcPr>
          <w:p w14:paraId="1DBF3A39" w14:textId="5B282B9A" w:rsidR="00F069DE" w:rsidRPr="00FF5E92" w:rsidRDefault="007605B6" w:rsidP="00B93F1B">
            <w:pPr>
              <w:rPr>
                <w:rFonts w:cs="Tahoma"/>
                <w:b/>
                <w:bCs/>
              </w:rPr>
            </w:pPr>
            <w:r w:rsidRPr="00FF5E92">
              <w:rPr>
                <w:rFonts w:ascii="Segoe UI Symbol" w:eastAsia="MS Gothic" w:hAnsi="Segoe UI Symbol" w:cs="Segoe UI Symbol"/>
                <w:b/>
                <w:bCs/>
              </w:rPr>
              <w:t>☐</w:t>
            </w:r>
          </w:p>
        </w:tc>
      </w:tr>
    </w:tbl>
    <w:p w14:paraId="67B98F76" w14:textId="77777777" w:rsidR="00F069DE" w:rsidRDefault="00F069DE" w:rsidP="00F069DE">
      <w:pPr>
        <w:pStyle w:val="GMCNumbertext"/>
        <w:numPr>
          <w:ilvl w:val="0"/>
          <w:numId w:val="0"/>
        </w:numPr>
        <w:rPr>
          <w:bCs/>
        </w:rPr>
      </w:pPr>
    </w:p>
    <w:p w14:paraId="54C18512" w14:textId="77777777" w:rsidR="00F069DE" w:rsidRDefault="00F069DE" w:rsidP="00F069DE">
      <w:pPr>
        <w:pStyle w:val="GMCNormalBold"/>
      </w:pPr>
      <w:r>
        <w:t>Comments on ED&amp;I</w:t>
      </w:r>
    </w:p>
    <w:tbl>
      <w:tblPr>
        <w:tblStyle w:val="TableGrid"/>
        <w:tblW w:w="0" w:type="auto"/>
        <w:tblLook w:val="04A0" w:firstRow="1" w:lastRow="0" w:firstColumn="1" w:lastColumn="0" w:noHBand="0" w:noVBand="1"/>
      </w:tblPr>
      <w:tblGrid>
        <w:gridCol w:w="9629"/>
      </w:tblGrid>
      <w:tr w:rsidR="00F069DE" w14:paraId="4166003B" w14:textId="77777777" w:rsidTr="5305D027">
        <w:tc>
          <w:tcPr>
            <w:tcW w:w="9855" w:type="dxa"/>
          </w:tcPr>
          <w:p w14:paraId="2C58BC04" w14:textId="58A40A56" w:rsidR="00DE022D" w:rsidRDefault="005F3C12" w:rsidP="00DE022D">
            <w:pPr>
              <w:pStyle w:val="GMCNumbertext"/>
              <w:numPr>
                <w:ilvl w:val="0"/>
                <w:numId w:val="0"/>
              </w:numPr>
            </w:pPr>
            <w:r>
              <w:t>FPM</w:t>
            </w:r>
            <w:r w:rsidR="00DE022D">
              <w:t xml:space="preserve"> would agree that the changes go some way towards tackling discrimination and achieving inclusivity, </w:t>
            </w:r>
            <w:proofErr w:type="gramStart"/>
            <w:r w:rsidR="00DE022D">
              <w:t>equity</w:t>
            </w:r>
            <w:proofErr w:type="gramEnd"/>
            <w:r w:rsidR="00DE022D">
              <w:t xml:space="preserve"> and fairness. There is one small section on bias only. While welcomed, there is no mention of diversity expectations or inclusivity, and no mention of protected characteristics. It may not fully set out the explicit expectations of equality of treatment (in every sense) at both an individual patient level and at a systemic level within the profession.  It could be helpful to provide further guidance on treating colleagues and patients equitably and the need to seek out and understand health inequalities that may be rooted in </w:t>
            </w:r>
            <w:r>
              <w:t xml:space="preserve">social and economic </w:t>
            </w:r>
            <w:r w:rsidR="00DE022D">
              <w:t>inequalit</w:t>
            </w:r>
            <w:r>
              <w:t>ies</w:t>
            </w:r>
            <w:r w:rsidR="00850C0F">
              <w:t>.</w:t>
            </w:r>
            <w:r w:rsidR="00DE022D">
              <w:t xml:space="preserve"> </w:t>
            </w:r>
            <w:r w:rsidR="00850C0F">
              <w:t>S</w:t>
            </w:r>
            <w:r w:rsidR="00DE022D">
              <w:t>ystemic</w:t>
            </w:r>
            <w:r w:rsidR="00850C0F">
              <w:t>,</w:t>
            </w:r>
            <w:r w:rsidR="00DE022D">
              <w:t xml:space="preserve"> </w:t>
            </w:r>
            <w:r w:rsidR="00850C0F" w:rsidRPr="00850C0F">
              <w:t>as well as structural</w:t>
            </w:r>
            <w:r w:rsidR="00850C0F">
              <w:t>,</w:t>
            </w:r>
            <w:r w:rsidR="00850C0F" w:rsidRPr="00850C0F">
              <w:t xml:space="preserve"> </w:t>
            </w:r>
            <w:r w:rsidR="00DE022D">
              <w:t>approaches that unconsciously disadvantage one or more groups</w:t>
            </w:r>
            <w:r w:rsidR="00850C0F">
              <w:t xml:space="preserve"> need to be identified</w:t>
            </w:r>
            <w:r w:rsidR="00DE022D">
              <w:t>.</w:t>
            </w:r>
          </w:p>
          <w:p w14:paraId="6331C12A" w14:textId="7603485C" w:rsidR="00DE022D" w:rsidRDefault="00DE022D" w:rsidP="00DE022D">
            <w:pPr>
              <w:pStyle w:val="GMCNumbertext"/>
              <w:numPr>
                <w:ilvl w:val="0"/>
                <w:numId w:val="0"/>
              </w:numPr>
            </w:pPr>
            <w:r>
              <w:t>It may help to emphasise the additional importance of socio-economic disadvantage and health inequalities</w:t>
            </w:r>
            <w:r w:rsidR="00B77E6F">
              <w:t>,</w:t>
            </w:r>
            <w:r>
              <w:t xml:space="preserve"> if these </w:t>
            </w:r>
            <w:r w:rsidR="00B77E6F">
              <w:t>a</w:t>
            </w:r>
            <w:r>
              <w:t xml:space="preserve">re addressed distinctly from the protected characteristics enshrined in the </w:t>
            </w:r>
            <w:r w:rsidRPr="00FF256B">
              <w:rPr>
                <w:i/>
                <w:iCs/>
              </w:rPr>
              <w:t>Equalities Act 2010</w:t>
            </w:r>
            <w:r>
              <w:rPr>
                <w:i/>
                <w:iCs/>
              </w:rPr>
              <w:t>.</w:t>
            </w:r>
          </w:p>
          <w:p w14:paraId="4F4912E0" w14:textId="43A0CDF0" w:rsidR="00F069DE" w:rsidRPr="00A06083" w:rsidRDefault="00DE022D" w:rsidP="00DE022D">
            <w:pPr>
              <w:pStyle w:val="GMCNumbertext"/>
              <w:numPr>
                <w:ilvl w:val="0"/>
                <w:numId w:val="0"/>
              </w:numPr>
            </w:pPr>
            <w:r>
              <w:t>In addition, the positive benefits of diversity in the workplace might be emphasised. In group working</w:t>
            </w:r>
            <w:r w:rsidR="005C1E98">
              <w:t>,</w:t>
            </w:r>
            <w:r>
              <w:t xml:space="preserve"> when decisions are made</w:t>
            </w:r>
            <w:r w:rsidR="005C1E98">
              <w:t>,</w:t>
            </w:r>
            <w:r>
              <w:t xml:space="preserve"> it has been shown that when there is diversity within the group, including gender, ethnicity and cognitive diversity, the decision</w:t>
            </w:r>
            <w:r w:rsidR="005C1E98">
              <w:t>-making</w:t>
            </w:r>
            <w:r>
              <w:t xml:space="preserve"> </w:t>
            </w:r>
            <w:r w:rsidR="005C1E98">
              <w:t>process is</w:t>
            </w:r>
            <w:r>
              <w:t xml:space="preserve"> often improved.</w:t>
            </w:r>
          </w:p>
        </w:tc>
      </w:tr>
    </w:tbl>
    <w:p w14:paraId="01239DA5" w14:textId="77777777" w:rsidR="00F069DE" w:rsidRDefault="00F069DE" w:rsidP="00F069DE">
      <w:pPr>
        <w:pStyle w:val="Heading1"/>
      </w:pPr>
    </w:p>
    <w:p w14:paraId="752D0319" w14:textId="00FF1FBC" w:rsidR="00F069DE" w:rsidRDefault="00F069DE">
      <w:pPr>
        <w:spacing w:after="0" w:line="240" w:lineRule="auto"/>
      </w:pPr>
      <w:r>
        <w:br w:type="page"/>
      </w:r>
    </w:p>
    <w:p w14:paraId="4A0B5D3C" w14:textId="77777777" w:rsidR="00F069DE" w:rsidRPr="00555B61" w:rsidRDefault="00F069DE" w:rsidP="00F069DE">
      <w:pPr>
        <w:pStyle w:val="Heading1"/>
      </w:pPr>
      <w:r>
        <w:lastRenderedPageBreak/>
        <w:t>Introductory sections</w:t>
      </w:r>
    </w:p>
    <w:p w14:paraId="3104B59E" w14:textId="77777777" w:rsidR="00F069DE" w:rsidRDefault="00F069DE" w:rsidP="00F069DE">
      <w:pPr>
        <w:pStyle w:val="Heading2"/>
      </w:pPr>
      <w:r>
        <w:t xml:space="preserve">Updating ‘Duties of a doctor’  </w:t>
      </w:r>
    </w:p>
    <w:p w14:paraId="1CB83AAE" w14:textId="77777777" w:rsidR="00F069DE" w:rsidRDefault="00F069DE" w:rsidP="00F069DE">
      <w:r>
        <w:t>At the front of GMP is a standalone statement, currently called ‘The duties of a doctor registered with the GMC’. It summarises the core duties in each domain and is written as a set of statements which doctors must meet.</w:t>
      </w:r>
    </w:p>
    <w:p w14:paraId="62AFD53D" w14:textId="77777777" w:rsidR="00F069DE" w:rsidRDefault="00F069DE" w:rsidP="00F069DE">
      <w:r>
        <w:t>In engagement we heard that this statement could have more impact if it was amended to read ‘I will’, giving those registered with us more ownership of the behaviours it describes.</w:t>
      </w:r>
    </w:p>
    <w:p w14:paraId="0E946F90" w14:textId="77777777" w:rsidR="00F069DE" w:rsidRDefault="00F069DE" w:rsidP="00F069DE">
      <w:r>
        <w:t>We’ve changed the opening of the statement to ‘As a medical professional, I will…’ and revised the statements to reflect the new structure and content of the guidance.</w:t>
      </w:r>
    </w:p>
    <w:p w14:paraId="6F889817" w14:textId="77777777" w:rsidR="00F069DE" w:rsidRDefault="00F069DE" w:rsidP="00F069DE">
      <w:r>
        <w:t xml:space="preserve">We’ve also changed the title from ‘Duties’ to ‘Behaviours of medical professionals registered with the GMC’ to make clear that these behaviours are not imposed by the GMC but instead are expected and agreed by the professions, patients, and wider society. You can read the revised statement in the updated guidance.   </w:t>
      </w:r>
    </w:p>
    <w:p w14:paraId="4C4BD3CC" w14:textId="77777777" w:rsidR="00F069DE" w:rsidRPr="00986BB1" w:rsidRDefault="00F069DE" w:rsidP="00F069DE">
      <w:pPr>
        <w:pStyle w:val="GMCNumbertext"/>
        <w:numPr>
          <w:ilvl w:val="0"/>
          <w:numId w:val="1"/>
        </w:numPr>
      </w:pPr>
      <w:r w:rsidRPr="00986BB1">
        <w:t xml:space="preserve">How far do you agree or disagree that we should amend the whole statement to read ‘I will’? </w:t>
      </w:r>
    </w:p>
    <w:tbl>
      <w:tblPr>
        <w:tblStyle w:val="TableGrid"/>
        <w:tblW w:w="7582" w:type="dxa"/>
        <w:tblLook w:val="04A0" w:firstRow="1" w:lastRow="0" w:firstColumn="1" w:lastColumn="0" w:noHBand="0" w:noVBand="1"/>
      </w:tblPr>
      <w:tblGrid>
        <w:gridCol w:w="1534"/>
        <w:gridCol w:w="1482"/>
        <w:gridCol w:w="1546"/>
        <w:gridCol w:w="1546"/>
        <w:gridCol w:w="1474"/>
      </w:tblGrid>
      <w:tr w:rsidR="00F069DE" w:rsidRPr="0011618E" w14:paraId="323F4B48" w14:textId="77777777" w:rsidTr="00B93F1B">
        <w:tc>
          <w:tcPr>
            <w:tcW w:w="1534" w:type="dxa"/>
          </w:tcPr>
          <w:p w14:paraId="140911E7" w14:textId="4D7226CC" w:rsidR="00F069DE" w:rsidRPr="0011618E" w:rsidRDefault="00FD4066" w:rsidP="00B93F1B">
            <w:pPr>
              <w:rPr>
                <w:b/>
                <w:bCs/>
              </w:rPr>
            </w:pPr>
            <w:r>
              <w:rPr>
                <w:b/>
                <w:bCs/>
              </w:rPr>
              <w:t>S</w:t>
            </w:r>
            <w:r w:rsidR="00F069DE" w:rsidRPr="0011618E">
              <w:rPr>
                <w:b/>
                <w:bCs/>
              </w:rPr>
              <w:t>trongly</w:t>
            </w:r>
            <w:r>
              <w:rPr>
                <w:b/>
                <w:bCs/>
              </w:rPr>
              <w:t xml:space="preserve"> agree</w:t>
            </w:r>
          </w:p>
        </w:tc>
        <w:tc>
          <w:tcPr>
            <w:tcW w:w="1482" w:type="dxa"/>
          </w:tcPr>
          <w:p w14:paraId="3B0087C3" w14:textId="77777777" w:rsidR="00F069DE" w:rsidRPr="0011618E" w:rsidRDefault="00F069DE" w:rsidP="00B93F1B">
            <w:pPr>
              <w:rPr>
                <w:b/>
                <w:bCs/>
              </w:rPr>
            </w:pPr>
            <w:r w:rsidRPr="0011618E">
              <w:rPr>
                <w:b/>
                <w:bCs/>
              </w:rPr>
              <w:t>Agree</w:t>
            </w:r>
          </w:p>
        </w:tc>
        <w:tc>
          <w:tcPr>
            <w:tcW w:w="1546" w:type="dxa"/>
          </w:tcPr>
          <w:p w14:paraId="1E650A33" w14:textId="77777777" w:rsidR="00F069DE" w:rsidRPr="0011618E" w:rsidRDefault="00F069DE" w:rsidP="00B93F1B">
            <w:pPr>
              <w:rPr>
                <w:b/>
                <w:bCs/>
              </w:rPr>
            </w:pPr>
            <w:r w:rsidRPr="0011618E">
              <w:rPr>
                <w:b/>
                <w:bCs/>
              </w:rPr>
              <w:t xml:space="preserve">Disagree </w:t>
            </w:r>
          </w:p>
        </w:tc>
        <w:tc>
          <w:tcPr>
            <w:tcW w:w="1546" w:type="dxa"/>
          </w:tcPr>
          <w:p w14:paraId="25450F82" w14:textId="4E5A9804" w:rsidR="00F069DE" w:rsidRPr="0011618E" w:rsidRDefault="00FD4066" w:rsidP="00B93F1B">
            <w:pPr>
              <w:rPr>
                <w:b/>
                <w:bCs/>
              </w:rPr>
            </w:pPr>
            <w:r>
              <w:rPr>
                <w:b/>
                <w:bCs/>
              </w:rPr>
              <w:t>S</w:t>
            </w:r>
            <w:r w:rsidR="00F069DE" w:rsidRPr="0011618E">
              <w:rPr>
                <w:b/>
                <w:bCs/>
              </w:rPr>
              <w:t>trongly</w:t>
            </w:r>
            <w:r>
              <w:rPr>
                <w:b/>
                <w:bCs/>
              </w:rPr>
              <w:t xml:space="preserve"> disagree</w:t>
            </w:r>
          </w:p>
        </w:tc>
        <w:tc>
          <w:tcPr>
            <w:tcW w:w="1474" w:type="dxa"/>
          </w:tcPr>
          <w:p w14:paraId="6570C4EB" w14:textId="77777777" w:rsidR="00F069DE" w:rsidRPr="0011618E" w:rsidRDefault="00F069DE" w:rsidP="00B93F1B">
            <w:pPr>
              <w:rPr>
                <w:b/>
                <w:bCs/>
              </w:rPr>
            </w:pPr>
            <w:r w:rsidRPr="0011618E">
              <w:rPr>
                <w:b/>
                <w:bCs/>
              </w:rPr>
              <w:t>Don’t know</w:t>
            </w:r>
          </w:p>
        </w:tc>
      </w:tr>
      <w:tr w:rsidR="00F069DE" w:rsidRPr="0011618E" w14:paraId="6ADB7707" w14:textId="77777777" w:rsidTr="00B93F1B">
        <w:tc>
          <w:tcPr>
            <w:tcW w:w="1534" w:type="dxa"/>
          </w:tcPr>
          <w:p w14:paraId="4137CFD0" w14:textId="118CD2E6" w:rsidR="00F069DE" w:rsidRPr="00FF5E92" w:rsidRDefault="007605B6" w:rsidP="00B93F1B">
            <w:pPr>
              <w:rPr>
                <w:rFonts w:cs="Tahoma"/>
                <w:b/>
                <w:bCs/>
              </w:rPr>
            </w:pPr>
            <w:r w:rsidRPr="00FF5E92">
              <w:rPr>
                <w:rFonts w:ascii="Segoe UI Symbol" w:eastAsia="MS Gothic" w:hAnsi="Segoe UI Symbol" w:cs="Segoe UI Symbol"/>
                <w:b/>
                <w:bCs/>
              </w:rPr>
              <w:t>☐</w:t>
            </w:r>
          </w:p>
        </w:tc>
        <w:tc>
          <w:tcPr>
            <w:tcW w:w="1482" w:type="dxa"/>
          </w:tcPr>
          <w:p w14:paraId="152C436B" w14:textId="787A4B84" w:rsidR="00F069DE" w:rsidRPr="00FF5E92" w:rsidRDefault="00CB65FD" w:rsidP="00B93F1B">
            <w:pPr>
              <w:rPr>
                <w:rFonts w:cs="Tahoma"/>
                <w:b/>
                <w:bCs/>
              </w:rPr>
            </w:pPr>
            <w:r>
              <w:rPr>
                <w:rFonts w:ascii="Segoe UI Symbol" w:eastAsia="MS Gothic" w:hAnsi="Segoe UI Symbol" w:cs="Segoe UI Symbol"/>
                <w:b/>
                <w:bCs/>
              </w:rPr>
              <w:t>x</w:t>
            </w:r>
          </w:p>
        </w:tc>
        <w:tc>
          <w:tcPr>
            <w:tcW w:w="1546" w:type="dxa"/>
          </w:tcPr>
          <w:p w14:paraId="5E232614" w14:textId="726CDA93" w:rsidR="00F069DE" w:rsidRPr="00FF5E92" w:rsidRDefault="007605B6" w:rsidP="00B93F1B">
            <w:pPr>
              <w:rPr>
                <w:rFonts w:cs="Tahoma"/>
                <w:b/>
                <w:bCs/>
              </w:rPr>
            </w:pPr>
            <w:r w:rsidRPr="00FF5E92">
              <w:rPr>
                <w:rFonts w:ascii="Segoe UI Symbol" w:eastAsia="MS Gothic" w:hAnsi="Segoe UI Symbol" w:cs="Segoe UI Symbol"/>
                <w:b/>
                <w:bCs/>
              </w:rPr>
              <w:t>☐</w:t>
            </w:r>
          </w:p>
        </w:tc>
        <w:tc>
          <w:tcPr>
            <w:tcW w:w="1546" w:type="dxa"/>
          </w:tcPr>
          <w:p w14:paraId="0578AEAD" w14:textId="0BC88889" w:rsidR="00F069DE" w:rsidRPr="00FF5E92" w:rsidRDefault="007605B6" w:rsidP="00B93F1B">
            <w:pPr>
              <w:rPr>
                <w:rFonts w:cs="Tahoma"/>
                <w:b/>
                <w:bCs/>
              </w:rPr>
            </w:pPr>
            <w:r w:rsidRPr="00FF5E92">
              <w:rPr>
                <w:rFonts w:ascii="Segoe UI Symbol" w:eastAsia="MS Gothic" w:hAnsi="Segoe UI Symbol" w:cs="Segoe UI Symbol"/>
                <w:b/>
                <w:bCs/>
              </w:rPr>
              <w:t>☐</w:t>
            </w:r>
          </w:p>
        </w:tc>
        <w:tc>
          <w:tcPr>
            <w:tcW w:w="1474" w:type="dxa"/>
          </w:tcPr>
          <w:p w14:paraId="01D1DB6C" w14:textId="489353FB" w:rsidR="00F069DE" w:rsidRPr="00FF5E92" w:rsidRDefault="007605B6" w:rsidP="00B93F1B">
            <w:pPr>
              <w:rPr>
                <w:rFonts w:cs="Tahoma"/>
                <w:b/>
                <w:bCs/>
              </w:rPr>
            </w:pPr>
            <w:r w:rsidRPr="00FF5E92">
              <w:rPr>
                <w:rFonts w:ascii="Segoe UI Symbol" w:eastAsia="MS Gothic" w:hAnsi="Segoe UI Symbol" w:cs="Segoe UI Symbol"/>
                <w:b/>
                <w:bCs/>
              </w:rPr>
              <w:t>☐</w:t>
            </w:r>
          </w:p>
        </w:tc>
      </w:tr>
    </w:tbl>
    <w:p w14:paraId="00723B9D" w14:textId="77777777" w:rsidR="00F069DE" w:rsidRDefault="00F069DE" w:rsidP="00F069DE">
      <w:pPr>
        <w:pStyle w:val="GMCNormalBold"/>
      </w:pPr>
    </w:p>
    <w:p w14:paraId="3965A803" w14:textId="77777777" w:rsidR="00F069DE" w:rsidRPr="008E1002" w:rsidRDefault="00F069DE" w:rsidP="00F069DE">
      <w:pPr>
        <w:pStyle w:val="GMCNormalBold"/>
      </w:pPr>
      <w:r w:rsidRPr="008E1002">
        <w:t xml:space="preserve">Comments on the revised statement </w:t>
      </w:r>
    </w:p>
    <w:tbl>
      <w:tblPr>
        <w:tblStyle w:val="TableGrid"/>
        <w:tblW w:w="0" w:type="auto"/>
        <w:tblLook w:val="04A0" w:firstRow="1" w:lastRow="0" w:firstColumn="1" w:lastColumn="0" w:noHBand="0" w:noVBand="1"/>
      </w:tblPr>
      <w:tblGrid>
        <w:gridCol w:w="9629"/>
      </w:tblGrid>
      <w:tr w:rsidR="00F069DE" w14:paraId="7C526B50" w14:textId="77777777" w:rsidTr="5305D027">
        <w:tc>
          <w:tcPr>
            <w:tcW w:w="9629" w:type="dxa"/>
          </w:tcPr>
          <w:p w14:paraId="702DCC74" w14:textId="77777777" w:rsidR="002C4D64" w:rsidRDefault="00EA11B5" w:rsidP="00B93F1B">
            <w:r w:rsidRPr="00EA11B5">
              <w:t xml:space="preserve">Use of “I will” is new and is similar to language used in an “oath”. </w:t>
            </w:r>
            <w:r w:rsidR="00DA0451">
              <w:t xml:space="preserve"> We think most </w:t>
            </w:r>
            <w:r w:rsidR="002C4D64">
              <w:t>medical professionals would be comfortable with this.</w:t>
            </w:r>
          </w:p>
          <w:p w14:paraId="207E5057" w14:textId="3D7ECEA2" w:rsidR="00E56679" w:rsidRDefault="00EA11B5" w:rsidP="00B93F1B">
            <w:r w:rsidRPr="00EA11B5">
              <w:t xml:space="preserve">Patients to be </w:t>
            </w:r>
            <w:r w:rsidR="002C4D64">
              <w:t xml:space="preserve">(one’s) </w:t>
            </w:r>
            <w:r w:rsidRPr="00EA11B5">
              <w:t xml:space="preserve">first concern </w:t>
            </w:r>
            <w:r w:rsidR="002C4D64">
              <w:t>sh</w:t>
            </w:r>
            <w:r w:rsidRPr="00EA11B5">
              <w:t xml:space="preserve">ould be an important principle for </w:t>
            </w:r>
            <w:r w:rsidR="002C4D64">
              <w:t xml:space="preserve">all medical professionals, including </w:t>
            </w:r>
            <w:r w:rsidRPr="00EA11B5">
              <w:t>pharmaceutical physicians</w:t>
            </w:r>
            <w:r w:rsidR="008008B3">
              <w:t>,</w:t>
            </w:r>
            <w:r w:rsidRPr="00EA11B5">
              <w:t xml:space="preserve"> to adhere to</w:t>
            </w:r>
            <w:r w:rsidR="00DA0451">
              <w:t xml:space="preserve"> </w:t>
            </w:r>
            <w:r w:rsidR="002C4D64">
              <w:t>and</w:t>
            </w:r>
            <w:r w:rsidR="00DA0451">
              <w:t xml:space="preserve"> it is particularly appropriate that this should come first in the list</w:t>
            </w:r>
            <w:r w:rsidRPr="00EA11B5">
              <w:t>.</w:t>
            </w:r>
          </w:p>
          <w:p w14:paraId="054F3B99" w14:textId="587DEF82" w:rsidR="00E56679" w:rsidRDefault="005F3C12" w:rsidP="00B93F1B">
            <w:r>
              <w:t>FPM suggests</w:t>
            </w:r>
            <w:r w:rsidR="00E56679">
              <w:t xml:space="preserve"> that, although paragraph 67 addresses health issues that may affect judgement or performance</w:t>
            </w:r>
            <w:r w:rsidR="00B77E6F">
              <w:t>,</w:t>
            </w:r>
            <w:r w:rsidR="00E56679">
              <w:t xml:space="preserve"> it may be justified to make this more prominent in the guidance by adding an additional </w:t>
            </w:r>
            <w:r w:rsidR="002C4D64">
              <w:t>item</w:t>
            </w:r>
            <w:r w:rsidR="00E56679">
              <w:t xml:space="preserve"> to the Behaviours section of the introduction such as “Manage risks posed by my health”. </w:t>
            </w:r>
            <w:r w:rsidR="008E3026">
              <w:t xml:space="preserve">We recommend removing the ‘unfairly’ from “Never discriminate unfairly...”, as unfairness is implicit in discrimination. </w:t>
            </w:r>
            <w:r w:rsidR="00E56679">
              <w:t>It may also be appropriate to enhance the reference to an EDI commitment by expanding on th</w:t>
            </w:r>
            <w:r w:rsidR="008E3026">
              <w:t>is</w:t>
            </w:r>
            <w:r w:rsidR="00E56679">
              <w:t xml:space="preserve"> </w:t>
            </w:r>
            <w:r w:rsidR="008E3026">
              <w:lastRenderedPageBreak/>
              <w:t>section</w:t>
            </w:r>
            <w:r w:rsidR="00E56679">
              <w:t xml:space="preserve"> by adding “being alert </w:t>
            </w:r>
            <w:r w:rsidR="00E56679" w:rsidRPr="001C1F45">
              <w:t>to inherent or unconscious bias that may affect decision</w:t>
            </w:r>
            <w:r w:rsidR="00E56679">
              <w:t xml:space="preserve">-making” </w:t>
            </w:r>
            <w:r w:rsidR="00A52311">
              <w:t>(as in paragraph 56)</w:t>
            </w:r>
            <w:r w:rsidR="00E56679">
              <w:t>.</w:t>
            </w:r>
          </w:p>
          <w:p w14:paraId="5F092161" w14:textId="07E2644D" w:rsidR="00F069DE" w:rsidRPr="00DA0451" w:rsidRDefault="00E56679" w:rsidP="00B93F1B">
            <w:r>
              <w:t xml:space="preserve">Perhaps the bullet “Act with honesty and integrity” could be expanded by adding </w:t>
            </w:r>
            <w:r w:rsidR="00E4688E">
              <w:t>‘</w:t>
            </w:r>
            <w:r>
              <w:t xml:space="preserve">...and </w:t>
            </w:r>
            <w:r w:rsidR="00DA0451">
              <w:t>with</w:t>
            </w:r>
            <w:r w:rsidR="002C4D64">
              <w:t xml:space="preserve"> </w:t>
            </w:r>
            <w:r w:rsidR="00DA0451">
              <w:t xml:space="preserve">consideration of </w:t>
            </w:r>
            <w:r w:rsidR="00C82660">
              <w:t xml:space="preserve">pertinent </w:t>
            </w:r>
            <w:r w:rsidR="00DA0451">
              <w:t xml:space="preserve">ethical </w:t>
            </w:r>
            <w:proofErr w:type="gramStart"/>
            <w:r w:rsidR="00C82660">
              <w:t>issues</w:t>
            </w:r>
            <w:r w:rsidR="00E4688E">
              <w:t>’</w:t>
            </w:r>
            <w:proofErr w:type="gramEnd"/>
            <w:r w:rsidR="005F3C12">
              <w:t>?</w:t>
            </w:r>
          </w:p>
        </w:tc>
      </w:tr>
    </w:tbl>
    <w:p w14:paraId="56710CF8" w14:textId="77777777" w:rsidR="005F70ED" w:rsidRPr="008370F6" w:rsidRDefault="005F70ED" w:rsidP="005F70ED"/>
    <w:p w14:paraId="6BFB2361" w14:textId="77777777" w:rsidR="00F069DE" w:rsidRDefault="00F069DE" w:rsidP="00F069DE">
      <w:pPr>
        <w:pStyle w:val="Heading2"/>
      </w:pPr>
      <w:r>
        <w:t>Introduction to the guidance</w:t>
      </w:r>
    </w:p>
    <w:p w14:paraId="1C8941F1" w14:textId="77777777" w:rsidR="00F069DE" w:rsidRDefault="00F069DE" w:rsidP="00F069DE">
      <w:r>
        <w:t xml:space="preserve">We’ve replaced the section ‘Professionalism in action’ with a new introduction explaining the purpose of GMP. This now starts with how the professional guidance supports good practice, and what the guidance means for: </w:t>
      </w:r>
    </w:p>
    <w:p w14:paraId="58B37E36" w14:textId="77777777" w:rsidR="00F069DE" w:rsidRDefault="00F069DE">
      <w:pPr>
        <w:pStyle w:val="ListBullet"/>
        <w:numPr>
          <w:ilvl w:val="0"/>
          <w:numId w:val="3"/>
        </w:numPr>
      </w:pPr>
      <w:r>
        <w:t>patients and the public</w:t>
      </w:r>
    </w:p>
    <w:p w14:paraId="78FDB847" w14:textId="77777777" w:rsidR="00F069DE" w:rsidRDefault="00F069DE">
      <w:pPr>
        <w:pStyle w:val="ListBullet"/>
        <w:numPr>
          <w:ilvl w:val="0"/>
          <w:numId w:val="3"/>
        </w:numPr>
      </w:pPr>
      <w:r>
        <w:t>medical professionals we regulate</w:t>
      </w:r>
    </w:p>
    <w:p w14:paraId="389373C1" w14:textId="77777777" w:rsidR="00F069DE" w:rsidRDefault="00F069DE">
      <w:pPr>
        <w:pStyle w:val="ListBullet"/>
        <w:numPr>
          <w:ilvl w:val="0"/>
          <w:numId w:val="3"/>
        </w:numPr>
      </w:pPr>
      <w:r>
        <w:t xml:space="preserve">the health and care system. </w:t>
      </w:r>
    </w:p>
    <w:p w14:paraId="0BCC859D" w14:textId="77777777" w:rsidR="00F069DE" w:rsidRDefault="00F069DE" w:rsidP="00F069DE">
      <w:r>
        <w:t xml:space="preserve">We’ve explained that the guidance aims to represent common ground between patients and the medical profession, on what good practice looks like in a modern UK health and care system. </w:t>
      </w:r>
    </w:p>
    <w:p w14:paraId="607DC5EE" w14:textId="52088366" w:rsidR="00F069DE" w:rsidRPr="001A7465" w:rsidRDefault="00F069DE" w:rsidP="00F069DE">
      <w:pPr>
        <w:pStyle w:val="Heading3"/>
      </w:pPr>
      <w:r w:rsidRPr="001A7465">
        <w:t xml:space="preserve">How we expect </w:t>
      </w:r>
      <w:r w:rsidR="00F42779">
        <w:t xml:space="preserve">medical professionals to use the </w:t>
      </w:r>
      <w:r w:rsidRPr="001A7465">
        <w:t xml:space="preserve">professional </w:t>
      </w:r>
      <w:r>
        <w:t>guidance</w:t>
      </w:r>
      <w:r w:rsidRPr="001A7465">
        <w:t xml:space="preserve"> </w:t>
      </w:r>
    </w:p>
    <w:p w14:paraId="541F2BA1" w14:textId="77777777" w:rsidR="00F069DE" w:rsidRDefault="00F069DE" w:rsidP="00F069DE">
      <w:bookmarkStart w:id="11" w:name="_Hlk95209404"/>
      <w:r>
        <w:t>W</w:t>
      </w:r>
      <w:r w:rsidRPr="000E0BDF">
        <w:t xml:space="preserve">e’ve </w:t>
      </w:r>
      <w:r>
        <w:t>clarified how we expect medical professionals to use the guidance to support their practice. Specifically, w</w:t>
      </w:r>
      <w:bookmarkStart w:id="12" w:name="_Hlk90311242"/>
      <w:bookmarkEnd w:id="11"/>
      <w:r>
        <w:t>e’ve added:</w:t>
      </w:r>
    </w:p>
    <w:p w14:paraId="4AD9961B" w14:textId="77777777" w:rsidR="00F069DE" w:rsidRDefault="00F069DE">
      <w:pPr>
        <w:pStyle w:val="ListBullet"/>
        <w:numPr>
          <w:ilvl w:val="0"/>
          <w:numId w:val="3"/>
        </w:numPr>
      </w:pPr>
      <w:r>
        <w:t>an explanation that GMP isn’t a set of rules. The people we regulate need to use their judgement to apply the professional guidance in practice</w:t>
      </w:r>
    </w:p>
    <w:p w14:paraId="186062C0" w14:textId="5AE496D6" w:rsidR="00F069DE" w:rsidRDefault="00F069DE">
      <w:pPr>
        <w:pStyle w:val="ListBullet"/>
        <w:numPr>
          <w:ilvl w:val="0"/>
          <w:numId w:val="3"/>
        </w:numPr>
      </w:pPr>
      <w:r>
        <w:t xml:space="preserve">a fuller account of what we mean by professional judgement. This was partly in response to the outcome of a </w:t>
      </w:r>
      <w:hyperlink r:id="rId13" w:history="1">
        <w:r w:rsidRPr="00360288">
          <w:rPr>
            <w:rStyle w:val="Hyperlink"/>
          </w:rPr>
          <w:t xml:space="preserve">review commissioned by the Professional Standards Authority (PSA) </w:t>
        </w:r>
        <w:r w:rsidRPr="29F6B57D">
          <w:rPr>
            <w:rStyle w:val="Hyperlink"/>
            <w:i/>
            <w:iCs/>
          </w:rPr>
          <w:t>Ethics in extraordinary times</w:t>
        </w:r>
      </w:hyperlink>
      <w:r w:rsidRPr="29F6B57D">
        <w:rPr>
          <w:rStyle w:val="FootnoteReference"/>
          <w:i/>
          <w:iCs/>
        </w:rPr>
        <w:footnoteReference w:id="5"/>
      </w:r>
      <w:r>
        <w:t xml:space="preserve"> which recommended that regulators review the concept of judgement to make sure it’s well articulated</w:t>
      </w:r>
      <w:r>
        <w:noBreakHyphen/>
        <w:t xml:space="preserve">, modelled, and supported in ethical guidance and resources </w:t>
      </w:r>
    </w:p>
    <w:p w14:paraId="44B92A87" w14:textId="77777777" w:rsidR="00F069DE" w:rsidRDefault="00F069DE">
      <w:pPr>
        <w:pStyle w:val="ListBullet"/>
        <w:numPr>
          <w:ilvl w:val="0"/>
          <w:numId w:val="3"/>
        </w:numPr>
      </w:pPr>
      <w:r>
        <w:t>an assurance that different medical professionals may come to different conclusions when faced with the same situation. We’ve said that i</w:t>
      </w:r>
      <w:r w:rsidRPr="00EC6031">
        <w:t xml:space="preserve">f </w:t>
      </w:r>
      <w:r>
        <w:t>medical professionals</w:t>
      </w:r>
      <w:r w:rsidRPr="00EC6031">
        <w:t xml:space="preserve"> apply the guidance, act in good faith and in the interests of patients, </w:t>
      </w:r>
      <w:r w:rsidRPr="00EC6031">
        <w:lastRenderedPageBreak/>
        <w:t>they</w:t>
      </w:r>
      <w:r>
        <w:t>’</w:t>
      </w:r>
      <w:r w:rsidRPr="00EC6031">
        <w:t>ll be in a good position to explain and justify their decisions and actions if a concern is raised about their practice.</w:t>
      </w:r>
    </w:p>
    <w:p w14:paraId="0EA16186" w14:textId="77777777" w:rsidR="00F069DE" w:rsidRDefault="00F069DE" w:rsidP="00F069DE">
      <w:r w:rsidRPr="000F7BFE">
        <w:t xml:space="preserve">This </w:t>
      </w:r>
      <w:r>
        <w:t xml:space="preserve">section </w:t>
      </w:r>
      <w:r w:rsidRPr="000F7BFE">
        <w:t xml:space="preserve">also includes our explanation of the terms used in the </w:t>
      </w:r>
      <w:r>
        <w:t>guidance</w:t>
      </w:r>
      <w:r w:rsidRPr="000F7BFE">
        <w:t xml:space="preserve"> (‘you must’ and ‘you should’), which we first introduced in the 2006 edition.</w:t>
      </w:r>
      <w:r>
        <w:t xml:space="preserve"> In this update, we’ve tried to make this explanation simpler and clearer.</w:t>
      </w:r>
    </w:p>
    <w:p w14:paraId="60271B68" w14:textId="0EAA4451" w:rsidR="00F069DE" w:rsidRDefault="00F069DE" w:rsidP="00F069DE">
      <w:pPr>
        <w:pStyle w:val="Heading3"/>
      </w:pPr>
      <w:r w:rsidRPr="00A17030">
        <w:t xml:space="preserve">How </w:t>
      </w:r>
      <w:r w:rsidR="00F42779">
        <w:t>we use the professional standards when considering a fitness to practise concern</w:t>
      </w:r>
    </w:p>
    <w:p w14:paraId="57535ACB" w14:textId="7BD2AE83" w:rsidR="00F069DE" w:rsidRDefault="29F6B57D" w:rsidP="00F069DE">
      <w:r>
        <w:t>In this section, we’ve set out a new expression of the relationship between the guidance and our processes for dealing with fitness to practise concerns. Our aim is to help medical professionals, patients, members of the public and others understand how the professional guidance is used in our decision-making processes.</w:t>
      </w:r>
    </w:p>
    <w:p w14:paraId="33CEFACF" w14:textId="77777777" w:rsidR="00F069DE" w:rsidRDefault="00F069DE" w:rsidP="00F069DE">
      <w:r>
        <w:t>We’ve removed the existing ‘threshold’ statement (‘only serious or persistent failure to follow this guidance will put your registration at risk’) because we think it would be reassuring to medical professionals and helpful to patients and the public to explain more fully when we might take action to protect the public.</w:t>
      </w:r>
    </w:p>
    <w:p w14:paraId="2678A19B" w14:textId="350B7F24" w:rsidR="00F069DE" w:rsidRDefault="00F069DE" w:rsidP="00F069DE">
      <w:r>
        <w:t>In its place we’ve explained that we act ‘</w:t>
      </w:r>
      <w:r w:rsidRPr="00120F3E">
        <w:rPr>
          <w:b/>
          <w:bCs/>
        </w:rPr>
        <w:t>where there is a risk to patients</w:t>
      </w:r>
      <w:r w:rsidR="00F42779">
        <w:rPr>
          <w:b/>
          <w:bCs/>
        </w:rPr>
        <w:t>,</w:t>
      </w:r>
      <w:r w:rsidRPr="00120F3E">
        <w:rPr>
          <w:b/>
          <w:bCs/>
        </w:rPr>
        <w:t xml:space="preserve"> or public confidence in medical professionals, or where it is necessary to maintain professional</w:t>
      </w:r>
      <w:r>
        <w:rPr>
          <w:b/>
          <w:bCs/>
        </w:rPr>
        <w:t xml:space="preserve"> standards</w:t>
      </w:r>
      <w:r>
        <w:t xml:space="preserve">.’ We’ve also given a fuller account of the range of factors considered by GMC decision makers when they’re assessing risk, including </w:t>
      </w:r>
      <w:r w:rsidRPr="001E002F">
        <w:t>the context in which the registrant was working</w:t>
      </w:r>
      <w:r>
        <w:t xml:space="preserve"> in. </w:t>
      </w:r>
    </w:p>
    <w:p w14:paraId="7CDC78F1" w14:textId="77777777" w:rsidR="00F069DE" w:rsidRPr="00986BB1" w:rsidRDefault="00F069DE" w:rsidP="00F069DE">
      <w:pPr>
        <w:pStyle w:val="GMCNumbertext"/>
        <w:numPr>
          <w:ilvl w:val="0"/>
          <w:numId w:val="1"/>
        </w:numPr>
      </w:pPr>
      <w:r w:rsidRPr="00986BB1">
        <w:t>How far do you agree or disagree with these statements?</w:t>
      </w:r>
    </w:p>
    <w:tbl>
      <w:tblPr>
        <w:tblStyle w:val="TableGrid"/>
        <w:tblW w:w="0" w:type="auto"/>
        <w:tblLook w:val="04A0" w:firstRow="1" w:lastRow="0" w:firstColumn="1" w:lastColumn="0" w:noHBand="0" w:noVBand="1"/>
      </w:tblPr>
      <w:tblGrid>
        <w:gridCol w:w="3205"/>
        <w:gridCol w:w="1236"/>
        <w:gridCol w:w="1201"/>
        <w:gridCol w:w="1412"/>
        <w:gridCol w:w="1400"/>
        <w:gridCol w:w="1175"/>
      </w:tblGrid>
      <w:tr w:rsidR="00F069DE" w:rsidRPr="00465685" w14:paraId="6571E444" w14:textId="77777777" w:rsidTr="00B93F1B">
        <w:tc>
          <w:tcPr>
            <w:tcW w:w="3672" w:type="dxa"/>
          </w:tcPr>
          <w:p w14:paraId="3118BA40" w14:textId="77777777" w:rsidR="00F069DE" w:rsidRPr="00465685" w:rsidRDefault="00F069DE" w:rsidP="00B93F1B">
            <w:pPr>
              <w:rPr>
                <w:b/>
                <w:bCs/>
              </w:rPr>
            </w:pPr>
            <w:r w:rsidRPr="00465685">
              <w:rPr>
                <w:b/>
                <w:bCs/>
              </w:rPr>
              <w:t xml:space="preserve">Statement </w:t>
            </w:r>
          </w:p>
        </w:tc>
        <w:tc>
          <w:tcPr>
            <w:tcW w:w="238" w:type="dxa"/>
          </w:tcPr>
          <w:p w14:paraId="1CADF71A" w14:textId="47B309E6" w:rsidR="00F069DE" w:rsidRPr="00465685" w:rsidRDefault="00FD4066" w:rsidP="00B93F1B">
            <w:pPr>
              <w:rPr>
                <w:b/>
                <w:bCs/>
              </w:rPr>
            </w:pPr>
            <w:r>
              <w:rPr>
                <w:b/>
                <w:bCs/>
              </w:rPr>
              <w:t>S</w:t>
            </w:r>
            <w:r w:rsidR="00F069DE">
              <w:rPr>
                <w:b/>
                <w:bCs/>
              </w:rPr>
              <w:t>trongly</w:t>
            </w:r>
            <w:r>
              <w:rPr>
                <w:b/>
                <w:bCs/>
              </w:rPr>
              <w:t xml:space="preserve"> agree</w:t>
            </w:r>
          </w:p>
        </w:tc>
        <w:tc>
          <w:tcPr>
            <w:tcW w:w="1373" w:type="dxa"/>
          </w:tcPr>
          <w:p w14:paraId="58ED6FB8" w14:textId="77777777" w:rsidR="00F069DE" w:rsidRPr="00465685" w:rsidRDefault="00F069DE" w:rsidP="00B93F1B">
            <w:pPr>
              <w:rPr>
                <w:b/>
                <w:bCs/>
              </w:rPr>
            </w:pPr>
            <w:r>
              <w:rPr>
                <w:b/>
                <w:bCs/>
              </w:rPr>
              <w:t>Agree</w:t>
            </w:r>
          </w:p>
        </w:tc>
        <w:tc>
          <w:tcPr>
            <w:tcW w:w="1494" w:type="dxa"/>
          </w:tcPr>
          <w:p w14:paraId="27E3C66E" w14:textId="77777777" w:rsidR="00F069DE" w:rsidRPr="00465685" w:rsidRDefault="00F069DE" w:rsidP="00B93F1B">
            <w:pPr>
              <w:rPr>
                <w:b/>
                <w:bCs/>
              </w:rPr>
            </w:pPr>
            <w:r>
              <w:rPr>
                <w:b/>
                <w:bCs/>
              </w:rPr>
              <w:t>Disagree</w:t>
            </w:r>
          </w:p>
        </w:tc>
        <w:tc>
          <w:tcPr>
            <w:tcW w:w="1494" w:type="dxa"/>
          </w:tcPr>
          <w:p w14:paraId="6840229B" w14:textId="15F94ADF" w:rsidR="00F069DE" w:rsidRPr="00465685" w:rsidRDefault="00FD4066" w:rsidP="00B93F1B">
            <w:pPr>
              <w:rPr>
                <w:b/>
                <w:bCs/>
              </w:rPr>
            </w:pPr>
            <w:r>
              <w:rPr>
                <w:b/>
                <w:bCs/>
              </w:rPr>
              <w:t>S</w:t>
            </w:r>
            <w:r w:rsidR="00F069DE">
              <w:rPr>
                <w:b/>
                <w:bCs/>
              </w:rPr>
              <w:t>trongly</w:t>
            </w:r>
            <w:r>
              <w:rPr>
                <w:b/>
                <w:bCs/>
              </w:rPr>
              <w:t xml:space="preserve"> disagree</w:t>
            </w:r>
          </w:p>
        </w:tc>
        <w:tc>
          <w:tcPr>
            <w:tcW w:w="1358" w:type="dxa"/>
          </w:tcPr>
          <w:p w14:paraId="7F7C7A6F" w14:textId="77777777" w:rsidR="00F069DE" w:rsidRPr="00465685" w:rsidRDefault="00F069DE" w:rsidP="00B93F1B">
            <w:pPr>
              <w:rPr>
                <w:b/>
                <w:bCs/>
              </w:rPr>
            </w:pPr>
            <w:r>
              <w:rPr>
                <w:b/>
                <w:bCs/>
              </w:rPr>
              <w:t>Don’t know</w:t>
            </w:r>
          </w:p>
        </w:tc>
      </w:tr>
      <w:tr w:rsidR="00F069DE" w:rsidRPr="00465685" w14:paraId="0F1ED17B" w14:textId="77777777" w:rsidTr="00B93F1B">
        <w:tc>
          <w:tcPr>
            <w:tcW w:w="3672" w:type="dxa"/>
          </w:tcPr>
          <w:p w14:paraId="5D4EECED" w14:textId="77777777" w:rsidR="00F069DE" w:rsidRPr="00465685" w:rsidRDefault="00F069DE">
            <w:pPr>
              <w:pStyle w:val="GMCA-Ztext"/>
              <w:numPr>
                <w:ilvl w:val="0"/>
                <w:numId w:val="11"/>
              </w:numPr>
            </w:pPr>
            <w:r w:rsidRPr="00465685">
              <w:t xml:space="preserve">The overall introduction clarifies how we expect medical professionals to use the guidance. </w:t>
            </w:r>
          </w:p>
        </w:tc>
        <w:tc>
          <w:tcPr>
            <w:tcW w:w="238" w:type="dxa"/>
          </w:tcPr>
          <w:p w14:paraId="37E43357" w14:textId="0F887674" w:rsidR="00F069DE" w:rsidRPr="00FF5E92" w:rsidRDefault="007605B6" w:rsidP="00B93F1B">
            <w:pPr>
              <w:rPr>
                <w:rFonts w:cs="Tahoma"/>
              </w:rPr>
            </w:pPr>
            <w:r w:rsidRPr="00FF5E92">
              <w:rPr>
                <w:rFonts w:ascii="Segoe UI Symbol" w:eastAsia="MS Gothic" w:hAnsi="Segoe UI Symbol" w:cs="Segoe UI Symbol"/>
              </w:rPr>
              <w:t>☐</w:t>
            </w:r>
          </w:p>
        </w:tc>
        <w:tc>
          <w:tcPr>
            <w:tcW w:w="1373" w:type="dxa"/>
          </w:tcPr>
          <w:p w14:paraId="48925205" w14:textId="09AB8C2E" w:rsidR="00F069DE" w:rsidRPr="00FF5E92" w:rsidRDefault="00CB17EA" w:rsidP="00B93F1B">
            <w:pPr>
              <w:rPr>
                <w:rFonts w:cs="Tahoma"/>
              </w:rPr>
            </w:pPr>
            <w:r>
              <w:rPr>
                <w:rFonts w:ascii="Segoe UI Symbol" w:eastAsia="MS Gothic" w:hAnsi="Segoe UI Symbol" w:cs="Segoe UI Symbol"/>
              </w:rPr>
              <w:t>x</w:t>
            </w:r>
          </w:p>
        </w:tc>
        <w:tc>
          <w:tcPr>
            <w:tcW w:w="1494" w:type="dxa"/>
          </w:tcPr>
          <w:p w14:paraId="3061533F" w14:textId="317FEFEC" w:rsidR="00F069DE" w:rsidRPr="00FF5E92" w:rsidRDefault="007605B6" w:rsidP="00B93F1B">
            <w:pPr>
              <w:rPr>
                <w:rFonts w:cs="Tahoma"/>
              </w:rPr>
            </w:pPr>
            <w:r w:rsidRPr="00FF5E92">
              <w:rPr>
                <w:rFonts w:ascii="Segoe UI Symbol" w:eastAsia="MS Gothic" w:hAnsi="Segoe UI Symbol" w:cs="Segoe UI Symbol"/>
              </w:rPr>
              <w:t>☐</w:t>
            </w:r>
          </w:p>
        </w:tc>
        <w:tc>
          <w:tcPr>
            <w:tcW w:w="1494" w:type="dxa"/>
          </w:tcPr>
          <w:p w14:paraId="20C37207" w14:textId="450302C6" w:rsidR="00F069DE" w:rsidRPr="00FF5E92" w:rsidRDefault="007605B6" w:rsidP="00B93F1B">
            <w:pPr>
              <w:rPr>
                <w:rFonts w:cs="Tahoma"/>
              </w:rPr>
            </w:pPr>
            <w:r w:rsidRPr="00FF5E92">
              <w:rPr>
                <w:rFonts w:ascii="Segoe UI Symbol" w:eastAsia="MS Gothic" w:hAnsi="Segoe UI Symbol" w:cs="Segoe UI Symbol"/>
              </w:rPr>
              <w:t>☐</w:t>
            </w:r>
          </w:p>
        </w:tc>
        <w:tc>
          <w:tcPr>
            <w:tcW w:w="1358" w:type="dxa"/>
          </w:tcPr>
          <w:p w14:paraId="04FA3DBB" w14:textId="655AC1CC" w:rsidR="00F069DE" w:rsidRPr="00FF5E92" w:rsidRDefault="007605B6" w:rsidP="00B93F1B">
            <w:pPr>
              <w:rPr>
                <w:rFonts w:cs="Tahoma"/>
              </w:rPr>
            </w:pPr>
            <w:r w:rsidRPr="00FF5E92">
              <w:rPr>
                <w:rFonts w:ascii="Segoe UI Symbol" w:eastAsia="MS Gothic" w:hAnsi="Segoe UI Symbol" w:cs="Segoe UI Symbol"/>
              </w:rPr>
              <w:t>☐</w:t>
            </w:r>
          </w:p>
        </w:tc>
      </w:tr>
      <w:tr w:rsidR="00F069DE" w:rsidRPr="00465685" w14:paraId="61007E65" w14:textId="77777777" w:rsidTr="00B93F1B">
        <w:tc>
          <w:tcPr>
            <w:tcW w:w="3672" w:type="dxa"/>
          </w:tcPr>
          <w:p w14:paraId="2C57050C" w14:textId="77777777" w:rsidR="00F069DE" w:rsidRPr="00465685" w:rsidRDefault="00F069DE">
            <w:pPr>
              <w:pStyle w:val="GMCA-Ztext"/>
              <w:numPr>
                <w:ilvl w:val="0"/>
                <w:numId w:val="11"/>
              </w:numPr>
            </w:pPr>
            <w:r w:rsidRPr="00465685">
              <w:t xml:space="preserve">The new explanation on when we might take action is </w:t>
            </w:r>
            <w:r>
              <w:t>clear</w:t>
            </w:r>
            <w:r w:rsidRPr="00465685">
              <w:t>.</w:t>
            </w:r>
          </w:p>
        </w:tc>
        <w:tc>
          <w:tcPr>
            <w:tcW w:w="238" w:type="dxa"/>
          </w:tcPr>
          <w:p w14:paraId="21695B07" w14:textId="134213F7" w:rsidR="00F069DE" w:rsidRPr="00FF5E92" w:rsidRDefault="007605B6" w:rsidP="00B93F1B">
            <w:pPr>
              <w:rPr>
                <w:rFonts w:cs="Tahoma"/>
              </w:rPr>
            </w:pPr>
            <w:r w:rsidRPr="00FF5E92">
              <w:rPr>
                <w:rFonts w:ascii="Segoe UI Symbol" w:eastAsia="MS Gothic" w:hAnsi="Segoe UI Symbol" w:cs="Segoe UI Symbol"/>
              </w:rPr>
              <w:t>☐</w:t>
            </w:r>
          </w:p>
        </w:tc>
        <w:tc>
          <w:tcPr>
            <w:tcW w:w="1373" w:type="dxa"/>
          </w:tcPr>
          <w:p w14:paraId="61D5E1D3" w14:textId="779CA830" w:rsidR="00F069DE" w:rsidRPr="00FF5E92" w:rsidRDefault="00CB17EA" w:rsidP="00B93F1B">
            <w:pPr>
              <w:rPr>
                <w:rFonts w:cs="Tahoma"/>
              </w:rPr>
            </w:pPr>
            <w:r>
              <w:rPr>
                <w:rFonts w:ascii="Segoe UI Symbol" w:eastAsia="MS Gothic" w:hAnsi="Segoe UI Symbol" w:cs="Segoe UI Symbol"/>
              </w:rPr>
              <w:t>x</w:t>
            </w:r>
          </w:p>
        </w:tc>
        <w:tc>
          <w:tcPr>
            <w:tcW w:w="1494" w:type="dxa"/>
          </w:tcPr>
          <w:p w14:paraId="65454407" w14:textId="1DC96BC9" w:rsidR="00F069DE" w:rsidRPr="00FF5E92" w:rsidRDefault="007605B6" w:rsidP="00B93F1B">
            <w:pPr>
              <w:rPr>
                <w:rFonts w:cs="Tahoma"/>
              </w:rPr>
            </w:pPr>
            <w:r w:rsidRPr="00FF5E92">
              <w:rPr>
                <w:rFonts w:ascii="Segoe UI Symbol" w:eastAsia="MS Gothic" w:hAnsi="Segoe UI Symbol" w:cs="Segoe UI Symbol"/>
              </w:rPr>
              <w:t>☐</w:t>
            </w:r>
          </w:p>
        </w:tc>
        <w:tc>
          <w:tcPr>
            <w:tcW w:w="1494" w:type="dxa"/>
          </w:tcPr>
          <w:p w14:paraId="2D4F9B5C" w14:textId="7E538070" w:rsidR="00F069DE" w:rsidRPr="00FF5E92" w:rsidRDefault="007605B6" w:rsidP="00B93F1B">
            <w:pPr>
              <w:rPr>
                <w:rFonts w:cs="Tahoma"/>
              </w:rPr>
            </w:pPr>
            <w:r w:rsidRPr="00FF5E92">
              <w:rPr>
                <w:rFonts w:ascii="Segoe UI Symbol" w:eastAsia="MS Gothic" w:hAnsi="Segoe UI Symbol" w:cs="Segoe UI Symbol"/>
              </w:rPr>
              <w:t>☐</w:t>
            </w:r>
          </w:p>
        </w:tc>
        <w:tc>
          <w:tcPr>
            <w:tcW w:w="1358" w:type="dxa"/>
          </w:tcPr>
          <w:p w14:paraId="6207D197" w14:textId="268B4218" w:rsidR="00F069DE" w:rsidRPr="00FF5E92" w:rsidRDefault="007605B6" w:rsidP="00B93F1B">
            <w:pPr>
              <w:rPr>
                <w:rFonts w:cs="Tahoma"/>
              </w:rPr>
            </w:pPr>
            <w:r w:rsidRPr="00FF5E92">
              <w:rPr>
                <w:rFonts w:ascii="Segoe UI Symbol" w:eastAsia="MS Gothic" w:hAnsi="Segoe UI Symbol" w:cs="Segoe UI Symbol"/>
              </w:rPr>
              <w:t>☐</w:t>
            </w:r>
          </w:p>
        </w:tc>
      </w:tr>
    </w:tbl>
    <w:p w14:paraId="6AFDE226" w14:textId="77777777" w:rsidR="00F069DE" w:rsidRDefault="00F069DE" w:rsidP="00F069DE">
      <w:pPr>
        <w:pStyle w:val="GMCNumbertext"/>
        <w:numPr>
          <w:ilvl w:val="0"/>
          <w:numId w:val="0"/>
        </w:numPr>
        <w:rPr>
          <w:b/>
          <w:bCs/>
        </w:rPr>
      </w:pPr>
    </w:p>
    <w:p w14:paraId="28D9B681" w14:textId="77777777" w:rsidR="00F069DE" w:rsidRPr="008E1002" w:rsidRDefault="00F069DE" w:rsidP="00F069DE">
      <w:pPr>
        <w:pStyle w:val="GMCNormalBold"/>
      </w:pPr>
      <w:r w:rsidRPr="008E1002">
        <w:t>Comments</w:t>
      </w:r>
      <w:r>
        <w:t xml:space="preserve"> on introduction</w:t>
      </w:r>
      <w:r w:rsidRPr="008E1002">
        <w:t xml:space="preserve"> </w:t>
      </w:r>
    </w:p>
    <w:tbl>
      <w:tblPr>
        <w:tblStyle w:val="TableGrid"/>
        <w:tblW w:w="0" w:type="auto"/>
        <w:tblLook w:val="04A0" w:firstRow="1" w:lastRow="0" w:firstColumn="1" w:lastColumn="0" w:noHBand="0" w:noVBand="1"/>
      </w:tblPr>
      <w:tblGrid>
        <w:gridCol w:w="9629"/>
      </w:tblGrid>
      <w:tr w:rsidR="00F069DE" w14:paraId="54E7DD72" w14:textId="77777777" w:rsidTr="00B93F1B">
        <w:tc>
          <w:tcPr>
            <w:tcW w:w="9629" w:type="dxa"/>
          </w:tcPr>
          <w:p w14:paraId="50AB980C" w14:textId="7B84C500" w:rsidR="00F069DE" w:rsidRDefault="00EA11B5" w:rsidP="00B93F1B">
            <w:pPr>
              <w:pStyle w:val="GMCNumbertext"/>
              <w:numPr>
                <w:ilvl w:val="0"/>
                <w:numId w:val="0"/>
              </w:numPr>
            </w:pPr>
            <w:r w:rsidRPr="00EA11B5">
              <w:lastRenderedPageBreak/>
              <w:t>Increasing emphasis on patient</w:t>
            </w:r>
            <w:r w:rsidR="006177C5">
              <w:t>s</w:t>
            </w:r>
            <w:r w:rsidRPr="00EA11B5">
              <w:t xml:space="preserve"> at the centre of care aligns with the increased emphasis on “Patient Centricity” in </w:t>
            </w:r>
            <w:r w:rsidR="00405301">
              <w:t xml:space="preserve">medicines development and </w:t>
            </w:r>
            <w:r w:rsidRPr="00EA11B5">
              <w:t>pharmaceutical physicians’ practice.</w:t>
            </w:r>
          </w:p>
          <w:p w14:paraId="57C686FC" w14:textId="66C2869C" w:rsidR="00EA11B5" w:rsidRDefault="006177C5" w:rsidP="00B93F1B">
            <w:pPr>
              <w:pStyle w:val="GMCNumbertext"/>
              <w:numPr>
                <w:ilvl w:val="0"/>
                <w:numId w:val="0"/>
              </w:numPr>
            </w:pPr>
            <w:r>
              <w:t>The d</w:t>
            </w:r>
            <w:r w:rsidR="00EA11B5" w:rsidRPr="00EA11B5">
              <w:t xml:space="preserve">ocument uses “high-level statements” and </w:t>
            </w:r>
            <w:r w:rsidR="00CB17EA">
              <w:t>should be</w:t>
            </w:r>
            <w:r w:rsidR="00EA11B5" w:rsidRPr="00EA11B5">
              <w:t xml:space="preserve"> relevant to all medical professionals regardless of their direct involvement with individual patients.</w:t>
            </w:r>
          </w:p>
          <w:p w14:paraId="53007DD3" w14:textId="11A24A1D" w:rsidR="00810B81" w:rsidRDefault="00810B81" w:rsidP="00B93F1B">
            <w:pPr>
              <w:pStyle w:val="GMCNumbertext"/>
              <w:numPr>
                <w:ilvl w:val="0"/>
                <w:numId w:val="0"/>
              </w:numPr>
              <w:rPr>
                <w:highlight w:val="yellow"/>
              </w:rPr>
            </w:pPr>
            <w:r w:rsidRPr="00810B81">
              <w:t xml:space="preserve">This is an extensive consultation on a critically important document that dominates the working practices of all doctors. It is right that the primary focus is patient-centric. Previously it was much more about how doctors should behave but now it is very largely about what patients can expect. As </w:t>
            </w:r>
            <w:r w:rsidR="00405F25">
              <w:t xml:space="preserve">we try and view the document from a patient </w:t>
            </w:r>
            <w:r w:rsidR="001C6698">
              <w:t>perspective,</w:t>
            </w:r>
            <w:r w:rsidRPr="00810B81">
              <w:t xml:space="preserve"> </w:t>
            </w:r>
            <w:r w:rsidR="00405F25">
              <w:t>we consider it likely that patients would be reassured by the explanation of the purpose of the guidance and when the GMC would act in terms of fitness to practice.</w:t>
            </w:r>
            <w:r w:rsidRPr="00810B81">
              <w:t xml:space="preserve"> </w:t>
            </w:r>
          </w:p>
        </w:tc>
      </w:tr>
      <w:bookmarkEnd w:id="12"/>
    </w:tbl>
    <w:p w14:paraId="34A1471A" w14:textId="2FAB466E" w:rsidR="00F069DE" w:rsidRDefault="00F069DE" w:rsidP="008B0C91">
      <w:pPr>
        <w:rPr>
          <w:bCs/>
          <w:iCs/>
          <w:color w:val="00377B"/>
          <w:kern w:val="32"/>
          <w:sz w:val="32"/>
          <w:szCs w:val="28"/>
        </w:rPr>
      </w:pPr>
    </w:p>
    <w:p w14:paraId="58B9B962" w14:textId="77777777" w:rsidR="00F069DE" w:rsidRDefault="00F069DE">
      <w:pPr>
        <w:spacing w:after="0" w:line="240" w:lineRule="auto"/>
        <w:rPr>
          <w:bCs/>
          <w:iCs/>
          <w:color w:val="00377B"/>
          <w:kern w:val="32"/>
          <w:sz w:val="32"/>
          <w:szCs w:val="28"/>
        </w:rPr>
      </w:pPr>
      <w:r>
        <w:rPr>
          <w:bCs/>
          <w:iCs/>
          <w:color w:val="00377B"/>
          <w:kern w:val="32"/>
          <w:sz w:val="32"/>
          <w:szCs w:val="28"/>
        </w:rPr>
        <w:br w:type="page"/>
      </w:r>
    </w:p>
    <w:p w14:paraId="6809D31E" w14:textId="77777777" w:rsidR="00F069DE" w:rsidRDefault="00F069DE" w:rsidP="00F069DE">
      <w:pPr>
        <w:pStyle w:val="Heading2"/>
      </w:pPr>
      <w:r>
        <w:lastRenderedPageBreak/>
        <w:t>New domain introductions</w:t>
      </w:r>
    </w:p>
    <w:p w14:paraId="5BF52307" w14:textId="77777777" w:rsidR="00F069DE" w:rsidRDefault="00F069DE" w:rsidP="00F069DE">
      <w:r>
        <w:t xml:space="preserve">We’ve added new introductory text to summarise the duties in each domain and to describe how each one contributes to the overall vision of </w:t>
      </w:r>
      <w:r w:rsidRPr="00173519">
        <w:rPr>
          <w:i/>
          <w:iCs/>
        </w:rPr>
        <w:t>Good medical practice</w:t>
      </w:r>
      <w:r>
        <w:t xml:space="preserve">. </w:t>
      </w:r>
    </w:p>
    <w:p w14:paraId="664DAA6B" w14:textId="77777777" w:rsidR="00F069DE" w:rsidRDefault="00F069DE" w:rsidP="00F069DE">
      <w:r>
        <w:t xml:space="preserve">We used this approach in the 2006 edition of GMP, but we removed the introductory explanations in the 2013 version to reflect feedback that the guidance should be short. However, it’s clear from engagement this time that more information would contextualise the duties and reassure medical professionals that what’s being asked of them is reasonable and fair.  </w:t>
      </w:r>
    </w:p>
    <w:p w14:paraId="4C8FB3C5" w14:textId="08E18A26" w:rsidR="00F069DE" w:rsidRDefault="00F069DE" w:rsidP="00F069DE">
      <w:bookmarkStart w:id="13" w:name="_Hlk98241580"/>
      <w:r>
        <w:t>You can read the new introductory text</w:t>
      </w:r>
      <w:r w:rsidR="00944536">
        <w:t xml:space="preserve"> at the start of each domain in the updated guidance. </w:t>
      </w:r>
    </w:p>
    <w:bookmarkEnd w:id="13"/>
    <w:p w14:paraId="5636486B" w14:textId="77777777" w:rsidR="00F069DE" w:rsidRPr="00986BB1" w:rsidRDefault="00F069DE" w:rsidP="00F069DE">
      <w:pPr>
        <w:pStyle w:val="GMCNumbertext"/>
        <w:numPr>
          <w:ilvl w:val="0"/>
          <w:numId w:val="1"/>
        </w:numPr>
        <w:rPr>
          <w:bCs/>
        </w:rPr>
      </w:pPr>
      <w:r w:rsidRPr="00986BB1">
        <w:t xml:space="preserve">How far do you agree or disagree that it’s helpful to include introductory paragraphs? </w:t>
      </w:r>
    </w:p>
    <w:tbl>
      <w:tblPr>
        <w:tblStyle w:val="TableGrid"/>
        <w:tblW w:w="7582" w:type="dxa"/>
        <w:tblLook w:val="04A0" w:firstRow="1" w:lastRow="0" w:firstColumn="1" w:lastColumn="0" w:noHBand="0" w:noVBand="1"/>
      </w:tblPr>
      <w:tblGrid>
        <w:gridCol w:w="1534"/>
        <w:gridCol w:w="1482"/>
        <w:gridCol w:w="1546"/>
        <w:gridCol w:w="1546"/>
        <w:gridCol w:w="1474"/>
      </w:tblGrid>
      <w:tr w:rsidR="00F069DE" w:rsidRPr="0011618E" w14:paraId="662376BA" w14:textId="77777777" w:rsidTr="00B93F1B">
        <w:tc>
          <w:tcPr>
            <w:tcW w:w="1534" w:type="dxa"/>
          </w:tcPr>
          <w:p w14:paraId="7B850FE1" w14:textId="31B6146B" w:rsidR="00F069DE" w:rsidRPr="0011618E" w:rsidRDefault="00FD4066" w:rsidP="00B93F1B">
            <w:pPr>
              <w:rPr>
                <w:b/>
                <w:bCs/>
              </w:rPr>
            </w:pPr>
            <w:r>
              <w:rPr>
                <w:b/>
                <w:bCs/>
              </w:rPr>
              <w:t>S</w:t>
            </w:r>
            <w:r w:rsidR="00F069DE" w:rsidRPr="0011618E">
              <w:rPr>
                <w:b/>
                <w:bCs/>
              </w:rPr>
              <w:t>trongly</w:t>
            </w:r>
            <w:r>
              <w:rPr>
                <w:b/>
                <w:bCs/>
              </w:rPr>
              <w:t xml:space="preserve"> agree</w:t>
            </w:r>
          </w:p>
        </w:tc>
        <w:tc>
          <w:tcPr>
            <w:tcW w:w="1482" w:type="dxa"/>
          </w:tcPr>
          <w:p w14:paraId="3ABF27DF" w14:textId="77777777" w:rsidR="00F069DE" w:rsidRPr="0011618E" w:rsidRDefault="00F069DE" w:rsidP="00B93F1B">
            <w:pPr>
              <w:rPr>
                <w:b/>
                <w:bCs/>
              </w:rPr>
            </w:pPr>
            <w:r w:rsidRPr="0011618E">
              <w:rPr>
                <w:b/>
                <w:bCs/>
              </w:rPr>
              <w:t>Agree</w:t>
            </w:r>
          </w:p>
        </w:tc>
        <w:tc>
          <w:tcPr>
            <w:tcW w:w="1546" w:type="dxa"/>
          </w:tcPr>
          <w:p w14:paraId="526956AD" w14:textId="77777777" w:rsidR="00F069DE" w:rsidRPr="0011618E" w:rsidRDefault="00F069DE" w:rsidP="00B93F1B">
            <w:pPr>
              <w:rPr>
                <w:b/>
                <w:bCs/>
              </w:rPr>
            </w:pPr>
            <w:r w:rsidRPr="0011618E">
              <w:rPr>
                <w:b/>
                <w:bCs/>
              </w:rPr>
              <w:t xml:space="preserve">Disagree </w:t>
            </w:r>
          </w:p>
        </w:tc>
        <w:tc>
          <w:tcPr>
            <w:tcW w:w="1546" w:type="dxa"/>
          </w:tcPr>
          <w:p w14:paraId="2E2EFB52" w14:textId="5CB7A2AA" w:rsidR="00F069DE" w:rsidRPr="0011618E" w:rsidRDefault="00FD4066" w:rsidP="00B93F1B">
            <w:pPr>
              <w:rPr>
                <w:b/>
                <w:bCs/>
              </w:rPr>
            </w:pPr>
            <w:r>
              <w:rPr>
                <w:b/>
                <w:bCs/>
              </w:rPr>
              <w:t>S</w:t>
            </w:r>
            <w:r w:rsidR="00F069DE" w:rsidRPr="0011618E">
              <w:rPr>
                <w:b/>
                <w:bCs/>
              </w:rPr>
              <w:t>trongly</w:t>
            </w:r>
            <w:r>
              <w:rPr>
                <w:b/>
                <w:bCs/>
              </w:rPr>
              <w:t xml:space="preserve"> disagree</w:t>
            </w:r>
          </w:p>
        </w:tc>
        <w:tc>
          <w:tcPr>
            <w:tcW w:w="1474" w:type="dxa"/>
          </w:tcPr>
          <w:p w14:paraId="5B6C55C6" w14:textId="77777777" w:rsidR="00F069DE" w:rsidRPr="0011618E" w:rsidRDefault="00F069DE" w:rsidP="00B93F1B">
            <w:pPr>
              <w:rPr>
                <w:b/>
                <w:bCs/>
              </w:rPr>
            </w:pPr>
            <w:r w:rsidRPr="0011618E">
              <w:rPr>
                <w:b/>
                <w:bCs/>
              </w:rPr>
              <w:t>Don’t know</w:t>
            </w:r>
          </w:p>
        </w:tc>
      </w:tr>
      <w:tr w:rsidR="00F069DE" w:rsidRPr="0011618E" w14:paraId="26440CD5" w14:textId="77777777" w:rsidTr="00B93F1B">
        <w:tc>
          <w:tcPr>
            <w:tcW w:w="1534" w:type="dxa"/>
          </w:tcPr>
          <w:p w14:paraId="798EA9B0" w14:textId="1B80FCF9" w:rsidR="00F069DE" w:rsidRPr="00FF5E92" w:rsidRDefault="007605B6" w:rsidP="00B93F1B">
            <w:pPr>
              <w:rPr>
                <w:rFonts w:cs="Tahoma"/>
                <w:b/>
                <w:bCs/>
              </w:rPr>
            </w:pPr>
            <w:r w:rsidRPr="00FF5E92">
              <w:rPr>
                <w:rFonts w:ascii="Segoe UI Symbol" w:eastAsia="MS Gothic" w:hAnsi="Segoe UI Symbol" w:cs="Segoe UI Symbol"/>
                <w:b/>
                <w:bCs/>
              </w:rPr>
              <w:t>☐</w:t>
            </w:r>
          </w:p>
        </w:tc>
        <w:tc>
          <w:tcPr>
            <w:tcW w:w="1482" w:type="dxa"/>
          </w:tcPr>
          <w:p w14:paraId="7110C942" w14:textId="033F3A88" w:rsidR="00F069DE" w:rsidRPr="00FF5E92" w:rsidRDefault="005A4F8C" w:rsidP="00B93F1B">
            <w:pPr>
              <w:rPr>
                <w:rFonts w:cs="Tahoma"/>
                <w:b/>
                <w:bCs/>
              </w:rPr>
            </w:pPr>
            <w:r>
              <w:rPr>
                <w:rFonts w:ascii="Segoe UI Symbol" w:eastAsia="MS Gothic" w:hAnsi="Segoe UI Symbol" w:cs="Segoe UI Symbol"/>
                <w:b/>
                <w:bCs/>
              </w:rPr>
              <w:t>x</w:t>
            </w:r>
          </w:p>
        </w:tc>
        <w:tc>
          <w:tcPr>
            <w:tcW w:w="1546" w:type="dxa"/>
          </w:tcPr>
          <w:p w14:paraId="2C05E0CA" w14:textId="573F1A8E" w:rsidR="00F069DE" w:rsidRPr="00FF5E92" w:rsidRDefault="007605B6" w:rsidP="00B93F1B">
            <w:pPr>
              <w:rPr>
                <w:rFonts w:cs="Tahoma"/>
                <w:b/>
                <w:bCs/>
              </w:rPr>
            </w:pPr>
            <w:r w:rsidRPr="00FF5E92">
              <w:rPr>
                <w:rFonts w:ascii="Segoe UI Symbol" w:eastAsia="MS Gothic" w:hAnsi="Segoe UI Symbol" w:cs="Segoe UI Symbol"/>
                <w:b/>
                <w:bCs/>
              </w:rPr>
              <w:t>☐</w:t>
            </w:r>
          </w:p>
        </w:tc>
        <w:tc>
          <w:tcPr>
            <w:tcW w:w="1546" w:type="dxa"/>
          </w:tcPr>
          <w:p w14:paraId="788D69F0" w14:textId="31AE6F5F" w:rsidR="00F069DE" w:rsidRPr="00FF5E92" w:rsidRDefault="007605B6" w:rsidP="00B93F1B">
            <w:pPr>
              <w:rPr>
                <w:rFonts w:cs="Tahoma"/>
                <w:b/>
                <w:bCs/>
              </w:rPr>
            </w:pPr>
            <w:r w:rsidRPr="00FF5E92">
              <w:rPr>
                <w:rFonts w:ascii="Segoe UI Symbol" w:eastAsia="MS Gothic" w:hAnsi="Segoe UI Symbol" w:cs="Segoe UI Symbol"/>
                <w:b/>
                <w:bCs/>
              </w:rPr>
              <w:t>☐</w:t>
            </w:r>
          </w:p>
        </w:tc>
        <w:tc>
          <w:tcPr>
            <w:tcW w:w="1474" w:type="dxa"/>
          </w:tcPr>
          <w:p w14:paraId="6426241B" w14:textId="522A0227" w:rsidR="00F069DE" w:rsidRPr="00FF5E92" w:rsidRDefault="007605B6" w:rsidP="00B93F1B">
            <w:pPr>
              <w:rPr>
                <w:rFonts w:cs="Tahoma"/>
                <w:b/>
                <w:bCs/>
              </w:rPr>
            </w:pPr>
            <w:r w:rsidRPr="00FF5E92">
              <w:rPr>
                <w:rFonts w:ascii="Segoe UI Symbol" w:eastAsia="MS Gothic" w:hAnsi="Segoe UI Symbol" w:cs="Segoe UI Symbol"/>
                <w:b/>
                <w:bCs/>
              </w:rPr>
              <w:t>☐</w:t>
            </w:r>
          </w:p>
        </w:tc>
      </w:tr>
    </w:tbl>
    <w:p w14:paraId="1BAD05DF" w14:textId="77777777" w:rsidR="00F069DE" w:rsidRDefault="00F069DE" w:rsidP="00F069DE">
      <w:pPr>
        <w:pStyle w:val="GMCNumbertext"/>
        <w:numPr>
          <w:ilvl w:val="0"/>
          <w:numId w:val="0"/>
        </w:numPr>
        <w:rPr>
          <w:bCs/>
        </w:rPr>
      </w:pPr>
    </w:p>
    <w:p w14:paraId="57C70238" w14:textId="77777777" w:rsidR="00F069DE" w:rsidRPr="00986BB1" w:rsidRDefault="00F069DE" w:rsidP="00F069DE">
      <w:pPr>
        <w:pStyle w:val="GMCNormalBold"/>
      </w:pPr>
      <w:r w:rsidRPr="00986BB1">
        <w:t xml:space="preserve">Comments on introductory paragraphs </w:t>
      </w:r>
    </w:p>
    <w:tbl>
      <w:tblPr>
        <w:tblStyle w:val="TableGrid"/>
        <w:tblW w:w="0" w:type="auto"/>
        <w:tblLook w:val="04A0" w:firstRow="1" w:lastRow="0" w:firstColumn="1" w:lastColumn="0" w:noHBand="0" w:noVBand="1"/>
      </w:tblPr>
      <w:tblGrid>
        <w:gridCol w:w="9629"/>
      </w:tblGrid>
      <w:tr w:rsidR="00F069DE" w14:paraId="70408E27" w14:textId="77777777" w:rsidTr="5305D027">
        <w:tc>
          <w:tcPr>
            <w:tcW w:w="9629" w:type="dxa"/>
          </w:tcPr>
          <w:p w14:paraId="178583D2" w14:textId="3912A8A6" w:rsidR="00AC3B24" w:rsidRDefault="00AC3B24" w:rsidP="00AC3B24">
            <w:r>
              <w:t>In general, these short introductions were helpful in providing context. Some suggested additions are indicated below</w:t>
            </w:r>
            <w:r w:rsidR="00B77E6F">
              <w:t>,</w:t>
            </w:r>
            <w:r>
              <w:t xml:space="preserve"> although we understand the need for these introductions to be concise.</w:t>
            </w:r>
          </w:p>
          <w:p w14:paraId="781EDE09" w14:textId="77777777" w:rsidR="00AC3B24" w:rsidRDefault="00AC3B24" w:rsidP="00AC3B24">
            <w:r>
              <w:t xml:space="preserve">Domain 1: Working with colleagues. Possibly add something that reflects ‘taking responsibility for </w:t>
            </w:r>
            <w:r w:rsidRPr="00A476DA">
              <w:rPr>
                <w:u w:val="single"/>
              </w:rPr>
              <w:t>all</w:t>
            </w:r>
            <w:r w:rsidRPr="00A476DA">
              <w:t xml:space="preserve"> aspects of patient safety’</w:t>
            </w:r>
            <w:r>
              <w:rPr>
                <w:i/>
                <w:iCs/>
              </w:rPr>
              <w:t>.</w:t>
            </w:r>
            <w:r w:rsidRPr="003A03B5">
              <w:rPr>
                <w:i/>
                <w:iCs/>
              </w:rPr>
              <w:t xml:space="preserve"> </w:t>
            </w:r>
          </w:p>
          <w:p w14:paraId="5338FBCD" w14:textId="6ABF4598" w:rsidR="00AC3B24" w:rsidRDefault="00AC3B24" w:rsidP="00AC3B24">
            <w:r>
              <w:t>Domain 2: Working with patients: The importance of obtaining valid</w:t>
            </w:r>
            <w:r w:rsidR="00405301">
              <w:t>, informed</w:t>
            </w:r>
            <w:r>
              <w:t xml:space="preserve"> consent, including for clinical trials, is such an important topic that in addition to the statement in paragraph 31 and 32, and the reference to “Decision making and Consent”, it may merit a sentence in the introduction.</w:t>
            </w:r>
          </w:p>
          <w:p w14:paraId="4C20BD1E" w14:textId="77777777" w:rsidR="00AC3B24" w:rsidRDefault="00AC3B24" w:rsidP="00AC3B24">
            <w:r>
              <w:t>In expanding on working in partnership with patients it may be useful to include a reference to ‘helping to empower the patient by encouraging them to take responsibility for their own health’.</w:t>
            </w:r>
          </w:p>
          <w:p w14:paraId="1F03F2FB" w14:textId="0A59342E" w:rsidR="00AC3B24" w:rsidRDefault="00AC3B24" w:rsidP="00AC3B24">
            <w:r>
              <w:t>Perhaps also (before “...are open and honest with patients if things go wrong</w:t>
            </w:r>
            <w:r w:rsidR="006F0600">
              <w:t>”</w:t>
            </w:r>
            <w:r>
              <w:t>) consider adding “work within their scope of practice and know when to ask for help”.</w:t>
            </w:r>
          </w:p>
          <w:p w14:paraId="758D3ACE" w14:textId="77777777" w:rsidR="00AC3B24" w:rsidRDefault="00AC3B24" w:rsidP="00AC3B24">
            <w:r>
              <w:t xml:space="preserve">Domain 3: Professional capabilities: This introduction aligns well with our current revalidation principles. </w:t>
            </w:r>
          </w:p>
          <w:p w14:paraId="334B7126" w14:textId="4615F6CF" w:rsidR="00364520" w:rsidRDefault="00AC3B24" w:rsidP="00AC3B24">
            <w:r>
              <w:lastRenderedPageBreak/>
              <w:t>Domain 4: Maintaining trust: Very relevant to pharmaceutical medicine and indeed is a prominent topic in the planned FPM symposium in November. Perhaps add “Good medical professionals uphold high personal and professional standards of conduct.”</w:t>
            </w:r>
          </w:p>
        </w:tc>
      </w:tr>
    </w:tbl>
    <w:p w14:paraId="46290B82" w14:textId="4BFEBA17" w:rsidR="00F069DE" w:rsidRDefault="00F069DE" w:rsidP="008B0C91">
      <w:pPr>
        <w:rPr>
          <w:bCs/>
          <w:iCs/>
          <w:color w:val="00377B"/>
          <w:kern w:val="32"/>
          <w:sz w:val="32"/>
          <w:szCs w:val="28"/>
        </w:rPr>
      </w:pPr>
    </w:p>
    <w:p w14:paraId="0635EB16" w14:textId="7665C823" w:rsidR="00F069DE" w:rsidRDefault="00F069DE">
      <w:pPr>
        <w:spacing w:after="0" w:line="240" w:lineRule="auto"/>
        <w:rPr>
          <w:bCs/>
          <w:iCs/>
          <w:color w:val="00377B"/>
          <w:kern w:val="32"/>
          <w:sz w:val="32"/>
          <w:szCs w:val="28"/>
        </w:rPr>
      </w:pPr>
    </w:p>
    <w:p w14:paraId="05750449" w14:textId="77777777" w:rsidR="00F069DE" w:rsidRPr="00465685" w:rsidRDefault="00F069DE" w:rsidP="00F069DE">
      <w:pPr>
        <w:pStyle w:val="Heading1"/>
      </w:pPr>
      <w:r>
        <w:t xml:space="preserve">Questions on four key themes </w:t>
      </w:r>
    </w:p>
    <w:p w14:paraId="75321718" w14:textId="77777777" w:rsidR="00F069DE" w:rsidRDefault="00F069DE" w:rsidP="00F069DE">
      <w:r w:rsidRPr="002E780A">
        <w:t>In this section</w:t>
      </w:r>
      <w:r>
        <w:t>,</w:t>
      </w:r>
      <w:r w:rsidRPr="002E780A">
        <w:t xml:space="preserve"> </w:t>
      </w:r>
      <w:r>
        <w:t>we’d like your feedback on changes made across the guidance in four thematic areas. These were identified in our research and pre</w:t>
      </w:r>
      <w:r>
        <w:noBreakHyphen/>
        <w:t>consultation engagement activities as priority areas for new or amended duties:</w:t>
      </w:r>
    </w:p>
    <w:p w14:paraId="1DACE4DD" w14:textId="0BE84820" w:rsidR="00F069DE" w:rsidRDefault="00F069DE">
      <w:pPr>
        <w:pStyle w:val="ListBullet"/>
        <w:numPr>
          <w:ilvl w:val="0"/>
          <w:numId w:val="3"/>
        </w:numPr>
      </w:pPr>
      <w:r>
        <w:t>Tack</w:t>
      </w:r>
      <w:r w:rsidR="00FD4066">
        <w:t>l</w:t>
      </w:r>
      <w:r>
        <w:t>ing discrimination, and promoting fairness and inclusion</w:t>
      </w:r>
    </w:p>
    <w:p w14:paraId="0CD4B08E" w14:textId="77777777" w:rsidR="00F069DE" w:rsidRDefault="00F069DE">
      <w:pPr>
        <w:pStyle w:val="ListBullet"/>
        <w:numPr>
          <w:ilvl w:val="0"/>
          <w:numId w:val="3"/>
        </w:numPr>
      </w:pPr>
      <w:r>
        <w:t>Working in partnership with patients</w:t>
      </w:r>
    </w:p>
    <w:p w14:paraId="5685E8E3" w14:textId="77777777" w:rsidR="00F069DE" w:rsidRDefault="00F069DE">
      <w:pPr>
        <w:pStyle w:val="ListBullet"/>
        <w:numPr>
          <w:ilvl w:val="0"/>
          <w:numId w:val="3"/>
        </w:numPr>
      </w:pPr>
      <w:r>
        <w:t>Working effectively with colleagues</w:t>
      </w:r>
    </w:p>
    <w:p w14:paraId="6A443A3C" w14:textId="77777777" w:rsidR="00F069DE" w:rsidRPr="00E859D1" w:rsidRDefault="00F069DE">
      <w:pPr>
        <w:pStyle w:val="ListBullet"/>
        <w:numPr>
          <w:ilvl w:val="0"/>
          <w:numId w:val="3"/>
        </w:numPr>
      </w:pPr>
      <w:r>
        <w:t>Leadership and organisational culture</w:t>
      </w:r>
    </w:p>
    <w:p w14:paraId="5E9D8676" w14:textId="77777777" w:rsidR="00F069DE" w:rsidRDefault="00F069DE" w:rsidP="00F069DE">
      <w:pPr>
        <w:pStyle w:val="Heading2"/>
      </w:pPr>
      <w:r>
        <w:t>Theme one: Tackling discrimination and promoting fairness and inclusion</w:t>
      </w:r>
    </w:p>
    <w:p w14:paraId="5C3C4504" w14:textId="77777777" w:rsidR="00F069DE" w:rsidRDefault="00F069DE" w:rsidP="00F069DE">
      <w:r>
        <w:t>This theme emerged strongly from our pre</w:t>
      </w:r>
      <w:r>
        <w:noBreakHyphen/>
        <w:t xml:space="preserve">consultation activity. A wide range of sources highlighted the importance of inclusivity and fairness, and the impact of unchallenged discrimination on medical professionals and patients. </w:t>
      </w:r>
    </w:p>
    <w:p w14:paraId="0F3096BA" w14:textId="77777777" w:rsidR="00F069DE" w:rsidRDefault="00F069DE" w:rsidP="00F069DE">
      <w:r>
        <w:t xml:space="preserve">The guidance has an important role to play in helping to eliminate racism and other forms of discrimination in healthcare (for example, in relation to disability, sex or sexual orientation). We’ve made changes throughout the guidance to emphasise the need to tackle discrimination, while promoting equality and inclusion in a positive way. </w:t>
      </w:r>
    </w:p>
    <w:p w14:paraId="5613231A" w14:textId="77777777" w:rsidR="00F069DE" w:rsidRDefault="00F069DE" w:rsidP="00F069DE">
      <w:r>
        <w:t>We’ve also highlighted courteous and respectful behaviours between colleagues and added a new duty on maintaining proper sexual boundaries in healthcare.</w:t>
      </w:r>
    </w:p>
    <w:p w14:paraId="37368BDD" w14:textId="184FBC4D" w:rsidR="00F069DE" w:rsidRDefault="00F069DE" w:rsidP="00F069DE">
      <w:r>
        <w:t>Our aim overall has been to emphasise the role of all medical professionals in promoting workplace cultures that are inclusive, fair, civil and compassionate.</w:t>
      </w:r>
      <w:r w:rsidRPr="00E0606C">
        <w:t xml:space="preserve"> </w:t>
      </w:r>
      <w:r>
        <w:t xml:space="preserve">But we recognise that the behaviour of individuals is just one part of addressing these issues and we’re working with organisations across the system to identify and embed interventions that can address these at a system level. We’re also aware that complex power dynamics affect how people behave, and we don’t want to create duties that reinforce existing sources of unfairness or discrimination. These are the main changes we’ve made: </w:t>
      </w:r>
    </w:p>
    <w:p w14:paraId="37689FDA" w14:textId="77777777" w:rsidR="00F069DE" w:rsidRPr="00E334B5" w:rsidRDefault="00F069DE">
      <w:pPr>
        <w:pStyle w:val="ListBullet"/>
        <w:numPr>
          <w:ilvl w:val="0"/>
          <w:numId w:val="3"/>
        </w:numPr>
      </w:pPr>
      <w:r w:rsidRPr="00E334B5">
        <w:rPr>
          <w:b/>
          <w:bCs/>
          <w:lang w:val="en"/>
        </w:rPr>
        <w:t>New</w:t>
      </w:r>
      <w:r w:rsidRPr="00E334B5">
        <w:rPr>
          <w:b/>
          <w:bCs/>
        </w:rPr>
        <w:t xml:space="preserve"> duty at paragraph 6,</w:t>
      </w:r>
      <w:r w:rsidRPr="00E334B5">
        <w:t xml:space="preserve"> which says medical professionals must not abuse, discriminate against, bully, exploit, or harass anyone, or condone such behaviour </w:t>
      </w:r>
      <w:r w:rsidRPr="00E334B5">
        <w:lastRenderedPageBreak/>
        <w:t xml:space="preserve">by others. This duty applies to all interactions, including on social media and networking sites. We’ve kept the duty not to unfairly discriminate against patients by allowing personal views to affect relationships or treatments in paragraph 23. </w:t>
      </w:r>
    </w:p>
    <w:p w14:paraId="43C950F3" w14:textId="12D18925" w:rsidR="00F069DE" w:rsidRPr="00E334B5" w:rsidRDefault="00F069DE">
      <w:pPr>
        <w:pStyle w:val="ListBullet"/>
        <w:numPr>
          <w:ilvl w:val="0"/>
          <w:numId w:val="3"/>
        </w:numPr>
      </w:pPr>
      <w:r w:rsidRPr="00E334B5">
        <w:rPr>
          <w:b/>
          <w:bCs/>
        </w:rPr>
        <w:t xml:space="preserve">New duty at paragraph 7, </w:t>
      </w:r>
      <w:r w:rsidRPr="00E334B5">
        <w:t xml:space="preserve">which says medical professionals should take action, or support others to take action, if they witness or are made aware of </w:t>
      </w:r>
      <w:r w:rsidR="00F42779">
        <w:t xml:space="preserve">bullying, harassment or </w:t>
      </w:r>
      <w:r w:rsidRPr="00E334B5">
        <w:t xml:space="preserve">unfair discrimination. This is developed from existing guidance in our </w:t>
      </w:r>
      <w:r w:rsidRPr="00E334B5">
        <w:rPr>
          <w:i/>
          <w:iCs/>
        </w:rPr>
        <w:t>Leadership and management</w:t>
      </w:r>
      <w:r w:rsidRPr="00E334B5">
        <w:t xml:space="preserve"> guidance. We’ve tried not to be prescriptive so that, for example, taking action could simply mean asking the person who experienced the discrimination if they’re okay. </w:t>
      </w:r>
    </w:p>
    <w:p w14:paraId="1D33638E" w14:textId="77777777" w:rsidR="00F069DE" w:rsidRPr="00E334B5" w:rsidRDefault="5305D027">
      <w:pPr>
        <w:pStyle w:val="ListBullet"/>
        <w:numPr>
          <w:ilvl w:val="0"/>
          <w:numId w:val="3"/>
        </w:numPr>
        <w:rPr>
          <w:b/>
          <w:bCs/>
          <w:lang w:val="en"/>
        </w:rPr>
      </w:pPr>
      <w:r w:rsidRPr="5305D027">
        <w:rPr>
          <w:b/>
          <w:bCs/>
          <w:lang w:val="en"/>
        </w:rPr>
        <w:t xml:space="preserve">Amended existing paragraph 15 (now paragraph 36) </w:t>
      </w:r>
      <w:r>
        <w:t>to add economic factors to the range of things medical professionals should take into account when assessing a patient. This is intended to better capture socio-economic determinants of health.</w:t>
      </w:r>
      <w:r w:rsidRPr="5305D027">
        <w:rPr>
          <w:b/>
          <w:bCs/>
          <w:lang w:val="en"/>
        </w:rPr>
        <w:t xml:space="preserve"> </w:t>
      </w:r>
    </w:p>
    <w:p w14:paraId="577EF9EE" w14:textId="3E73451D" w:rsidR="00F069DE" w:rsidRPr="00E334B5" w:rsidRDefault="00F069DE">
      <w:pPr>
        <w:pStyle w:val="ListBullet"/>
        <w:numPr>
          <w:ilvl w:val="0"/>
          <w:numId w:val="3"/>
        </w:numPr>
        <w:rPr>
          <w:b/>
          <w:bCs/>
          <w:lang w:val="en"/>
        </w:rPr>
      </w:pPr>
      <w:r w:rsidRPr="00E334B5">
        <w:rPr>
          <w:b/>
          <w:bCs/>
          <w:lang w:val="en"/>
        </w:rPr>
        <w:t>New duty at paragraph 56 (incorporating existing paragraph 22b)</w:t>
      </w:r>
      <w:r w:rsidRPr="00E334B5">
        <w:rPr>
          <w:lang w:val="en"/>
        </w:rPr>
        <w:t xml:space="preserve">, which says that </w:t>
      </w:r>
      <w:r w:rsidRPr="00E334B5">
        <w:t xml:space="preserve">medical professionals should consider how their </w:t>
      </w:r>
      <w:r w:rsidR="00F42779">
        <w:t xml:space="preserve">attitudes, values, </w:t>
      </w:r>
      <w:r w:rsidRPr="00E334B5">
        <w:t xml:space="preserve"> beliefs, </w:t>
      </w:r>
      <w:r w:rsidR="00F42779">
        <w:t xml:space="preserve">perceptions, and personal </w:t>
      </w:r>
      <w:r w:rsidRPr="00E334B5">
        <w:t xml:space="preserve">biases </w:t>
      </w:r>
      <w:r w:rsidR="00F42779">
        <w:t>(which may be unconscious) may influence your interactions with others, which could in turn affect outcomes for patients</w:t>
      </w:r>
      <w:r w:rsidRPr="00E334B5">
        <w:t xml:space="preserve"> (for example, </w:t>
      </w:r>
      <w:r w:rsidR="00F42779" w:rsidRPr="00E334B5">
        <w:t>as potential contributors to health inequalities or barriers to accessing some treatments)</w:t>
      </w:r>
      <w:r w:rsidR="00F42779">
        <w:t xml:space="preserve"> and colleagues (for example </w:t>
      </w:r>
      <w:r w:rsidRPr="00E334B5">
        <w:t>as potential contributors to unfair access to development opportunities</w:t>
      </w:r>
      <w:r w:rsidR="00F42779">
        <w:t xml:space="preserve">). </w:t>
      </w:r>
      <w:r w:rsidRPr="00E334B5">
        <w:t xml:space="preserve"> </w:t>
      </w:r>
    </w:p>
    <w:p w14:paraId="3D46F3E8" w14:textId="77777777" w:rsidR="00F069DE" w:rsidRPr="00E334B5" w:rsidRDefault="00F069DE">
      <w:pPr>
        <w:pStyle w:val="ListBullet"/>
        <w:numPr>
          <w:ilvl w:val="0"/>
          <w:numId w:val="3"/>
        </w:numPr>
      </w:pPr>
      <w:r w:rsidRPr="00E334B5">
        <w:rPr>
          <w:b/>
          <w:bCs/>
        </w:rPr>
        <w:t xml:space="preserve">Amended existing paragraphs 39 and 42 (now paragraph 59) </w:t>
      </w:r>
      <w:r w:rsidRPr="00E334B5">
        <w:t>to add mentoring and other forms of professional support. We say this is especially important for individuals who are new to practice in the UK, returning from a period away from practice, or who don’t have easy access to sources of support. We’ve added this because some individuals (who may share protected characteristics) are more likely to face discrimination or a lack of fair opportunity when accessing training and development.</w:t>
      </w:r>
    </w:p>
    <w:p w14:paraId="6607D9F4" w14:textId="3DA8DB3B" w:rsidR="00F069DE" w:rsidRPr="00E334B5" w:rsidRDefault="00F069DE">
      <w:pPr>
        <w:pStyle w:val="ListBullet"/>
        <w:numPr>
          <w:ilvl w:val="0"/>
          <w:numId w:val="3"/>
        </w:numPr>
      </w:pPr>
      <w:r w:rsidRPr="00E334B5">
        <w:rPr>
          <w:b/>
          <w:bCs/>
        </w:rPr>
        <w:t xml:space="preserve">New duty at paragraph 60, </w:t>
      </w:r>
      <w:r w:rsidRPr="00E334B5">
        <w:t xml:space="preserve">which says that medical professionals who have responsibilities for </w:t>
      </w:r>
      <w:r w:rsidR="00F42779">
        <w:t>helping staff</w:t>
      </w:r>
      <w:r w:rsidRPr="00E334B5">
        <w:t xml:space="preserve"> access training and development or employment opportunities, should make sure that they do this fairly. We’ve added this for similar reasons to those given for paragraph 59.</w:t>
      </w:r>
    </w:p>
    <w:p w14:paraId="56415B34" w14:textId="5014BFA1" w:rsidR="00F069DE" w:rsidRPr="00342101" w:rsidDel="00610EC3" w:rsidRDefault="00F069DE">
      <w:pPr>
        <w:pStyle w:val="ListBullet"/>
        <w:numPr>
          <w:ilvl w:val="0"/>
          <w:numId w:val="3"/>
        </w:numPr>
      </w:pPr>
      <w:r w:rsidRPr="00E334B5" w:rsidDel="00610EC3">
        <w:rPr>
          <w:b/>
          <w:bCs/>
        </w:rPr>
        <w:t>New duty at paragraph 7</w:t>
      </w:r>
      <w:r w:rsidRPr="00E334B5">
        <w:rPr>
          <w:b/>
          <w:bCs/>
        </w:rPr>
        <w:t>2</w:t>
      </w:r>
      <w:r w:rsidRPr="00E334B5" w:rsidDel="00610EC3">
        <w:rPr>
          <w:b/>
          <w:bCs/>
        </w:rPr>
        <w:t>,</w:t>
      </w:r>
      <w:r w:rsidRPr="00E334B5" w:rsidDel="00610EC3">
        <w:t xml:space="preserve"> which says that medical professionals must not demonstrate uninvited or unwelcome behaviour that can be reasonably interpreted as sexual </w:t>
      </w:r>
      <w:r w:rsidR="00F42779">
        <w:t>and</w:t>
      </w:r>
      <w:r w:rsidRPr="00E334B5" w:rsidDel="00610EC3">
        <w:t xml:space="preserve"> that offends</w:t>
      </w:r>
      <w:r w:rsidRPr="00342101" w:rsidDel="00610EC3">
        <w:t>, embarrasses, humiliates, intimidates or otherwise harms an individual or group.</w:t>
      </w:r>
      <w:r w:rsidDel="00610EC3">
        <w:t xml:space="preserve"> We</w:t>
      </w:r>
      <w:r w:rsidR="00F42779">
        <w:t xml:space="preserve">’ve </w:t>
      </w:r>
      <w:r w:rsidDel="00610EC3">
        <w:t xml:space="preserve">added this in response to feedback that GMP does not </w:t>
      </w:r>
      <w:r>
        <w:t xml:space="preserve">sufficiently </w:t>
      </w:r>
      <w:r w:rsidDel="00610EC3">
        <w:t xml:space="preserve">address </w:t>
      </w:r>
      <w:r w:rsidRPr="00D64DDE" w:rsidDel="00610EC3">
        <w:t xml:space="preserve">sexual harassment in the medical </w:t>
      </w:r>
      <w:r w:rsidRPr="00D64DDE" w:rsidDel="00610EC3">
        <w:lastRenderedPageBreak/>
        <w:t>professio</w:t>
      </w:r>
      <w:r w:rsidDel="00610EC3">
        <w:t>n.</w:t>
      </w:r>
      <w:r>
        <w:t xml:space="preserve"> Recent research</w:t>
      </w:r>
      <w:r>
        <w:rPr>
          <w:rStyle w:val="FootnoteReference"/>
        </w:rPr>
        <w:footnoteReference w:id="6"/>
      </w:r>
      <w:r>
        <w:t xml:space="preserve"> has shown that unwanted sexual behaviour in healthcare settings is a problem that is damaging for individuals and teams, and has a negative impact on patient care. </w:t>
      </w:r>
    </w:p>
    <w:p w14:paraId="4543E83C" w14:textId="6C1F1D6D" w:rsidR="00FD4066" w:rsidRDefault="00FD4066">
      <w:pPr>
        <w:spacing w:after="0" w:line="240" w:lineRule="auto"/>
      </w:pPr>
    </w:p>
    <w:p w14:paraId="076CA516" w14:textId="45F78F5E" w:rsidR="00F069DE" w:rsidRPr="00A3786B" w:rsidRDefault="00F069DE" w:rsidP="00F069DE">
      <w:pPr>
        <w:pStyle w:val="GMCNumbertext"/>
        <w:numPr>
          <w:ilvl w:val="0"/>
          <w:numId w:val="1"/>
        </w:numPr>
      </w:pPr>
      <w:r w:rsidRPr="00A3786B">
        <w:t>How far do you agree or disagree with these statements?</w:t>
      </w:r>
    </w:p>
    <w:tbl>
      <w:tblPr>
        <w:tblStyle w:val="TableGrid"/>
        <w:tblW w:w="0" w:type="auto"/>
        <w:tblLook w:val="04A0" w:firstRow="1" w:lastRow="0" w:firstColumn="1" w:lastColumn="0" w:noHBand="0" w:noVBand="1"/>
      </w:tblPr>
      <w:tblGrid>
        <w:gridCol w:w="2601"/>
        <w:gridCol w:w="1456"/>
        <w:gridCol w:w="1329"/>
        <w:gridCol w:w="1473"/>
        <w:gridCol w:w="1460"/>
        <w:gridCol w:w="1310"/>
      </w:tblGrid>
      <w:tr w:rsidR="00F069DE" w:rsidRPr="0011618E" w14:paraId="78A2180E" w14:textId="77777777" w:rsidTr="00B93F1B">
        <w:tc>
          <w:tcPr>
            <w:tcW w:w="1604" w:type="dxa"/>
          </w:tcPr>
          <w:p w14:paraId="6E05ED9E" w14:textId="77777777" w:rsidR="00F069DE" w:rsidRPr="0011618E" w:rsidRDefault="00F069DE" w:rsidP="00B93F1B">
            <w:pPr>
              <w:rPr>
                <w:b/>
                <w:bCs/>
              </w:rPr>
            </w:pPr>
            <w:r w:rsidRPr="0011618E">
              <w:rPr>
                <w:b/>
                <w:bCs/>
              </w:rPr>
              <w:t xml:space="preserve">Statement </w:t>
            </w:r>
          </w:p>
        </w:tc>
        <w:tc>
          <w:tcPr>
            <w:tcW w:w="1605" w:type="dxa"/>
          </w:tcPr>
          <w:p w14:paraId="7479C22D" w14:textId="70C34B7D" w:rsidR="00F069DE" w:rsidRPr="0011618E" w:rsidRDefault="00FD4066" w:rsidP="00B93F1B">
            <w:pPr>
              <w:rPr>
                <w:b/>
                <w:bCs/>
              </w:rPr>
            </w:pPr>
            <w:r>
              <w:rPr>
                <w:b/>
                <w:bCs/>
              </w:rPr>
              <w:t>S</w:t>
            </w:r>
            <w:r w:rsidR="00F069DE">
              <w:rPr>
                <w:b/>
                <w:bCs/>
              </w:rPr>
              <w:t>trongly</w:t>
            </w:r>
            <w:r>
              <w:rPr>
                <w:b/>
                <w:bCs/>
              </w:rPr>
              <w:t xml:space="preserve"> agree</w:t>
            </w:r>
          </w:p>
        </w:tc>
        <w:tc>
          <w:tcPr>
            <w:tcW w:w="1605" w:type="dxa"/>
          </w:tcPr>
          <w:p w14:paraId="7E1B3B3E" w14:textId="77777777" w:rsidR="00F069DE" w:rsidRPr="0011618E" w:rsidRDefault="00F069DE" w:rsidP="00B93F1B">
            <w:pPr>
              <w:rPr>
                <w:b/>
                <w:bCs/>
              </w:rPr>
            </w:pPr>
            <w:r>
              <w:rPr>
                <w:b/>
                <w:bCs/>
              </w:rPr>
              <w:t>Agree</w:t>
            </w:r>
          </w:p>
        </w:tc>
        <w:tc>
          <w:tcPr>
            <w:tcW w:w="1605" w:type="dxa"/>
          </w:tcPr>
          <w:p w14:paraId="75BCC650" w14:textId="77777777" w:rsidR="00F069DE" w:rsidRPr="0011618E" w:rsidRDefault="00F069DE" w:rsidP="00B93F1B">
            <w:pPr>
              <w:rPr>
                <w:b/>
                <w:bCs/>
              </w:rPr>
            </w:pPr>
            <w:r>
              <w:rPr>
                <w:b/>
                <w:bCs/>
              </w:rPr>
              <w:t>Disagree</w:t>
            </w:r>
          </w:p>
        </w:tc>
        <w:tc>
          <w:tcPr>
            <w:tcW w:w="1605" w:type="dxa"/>
          </w:tcPr>
          <w:p w14:paraId="6610D097" w14:textId="3B0C785F" w:rsidR="00F069DE" w:rsidRPr="0011618E" w:rsidRDefault="00FD4066" w:rsidP="00B93F1B">
            <w:pPr>
              <w:rPr>
                <w:b/>
                <w:bCs/>
              </w:rPr>
            </w:pPr>
            <w:r>
              <w:rPr>
                <w:b/>
                <w:bCs/>
              </w:rPr>
              <w:t>S</w:t>
            </w:r>
            <w:r w:rsidR="00F069DE">
              <w:rPr>
                <w:b/>
                <w:bCs/>
              </w:rPr>
              <w:t>trongly</w:t>
            </w:r>
            <w:r>
              <w:rPr>
                <w:b/>
                <w:bCs/>
              </w:rPr>
              <w:t xml:space="preserve"> disagree </w:t>
            </w:r>
          </w:p>
        </w:tc>
        <w:tc>
          <w:tcPr>
            <w:tcW w:w="1605" w:type="dxa"/>
          </w:tcPr>
          <w:p w14:paraId="2E1F0F7E" w14:textId="77777777" w:rsidR="00F069DE" w:rsidRPr="0011618E" w:rsidRDefault="00F069DE" w:rsidP="00B93F1B">
            <w:pPr>
              <w:rPr>
                <w:b/>
                <w:bCs/>
              </w:rPr>
            </w:pPr>
            <w:r>
              <w:rPr>
                <w:b/>
                <w:bCs/>
              </w:rPr>
              <w:t>Don’t know</w:t>
            </w:r>
          </w:p>
        </w:tc>
      </w:tr>
      <w:tr w:rsidR="00F069DE" w:rsidRPr="0011618E" w14:paraId="50058BE9" w14:textId="77777777" w:rsidTr="00B93F1B">
        <w:tc>
          <w:tcPr>
            <w:tcW w:w="1604" w:type="dxa"/>
          </w:tcPr>
          <w:p w14:paraId="7D81D5A1" w14:textId="77777777" w:rsidR="00F069DE" w:rsidRPr="0011618E" w:rsidRDefault="00F069DE">
            <w:pPr>
              <w:pStyle w:val="GMCA-Ztext"/>
              <w:numPr>
                <w:ilvl w:val="0"/>
                <w:numId w:val="12"/>
              </w:numPr>
            </w:pPr>
            <w:r w:rsidRPr="0011618E">
              <w:t>The updated guidance sets the right expectations on discrimination, fairness and inclusion.</w:t>
            </w:r>
          </w:p>
        </w:tc>
        <w:tc>
          <w:tcPr>
            <w:tcW w:w="1605" w:type="dxa"/>
          </w:tcPr>
          <w:p w14:paraId="78ED8E20" w14:textId="6EF6E161"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4C725F94" w14:textId="73F31491"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5AC997A4" w14:textId="22489E22" w:rsidR="00F069DE" w:rsidRPr="00CE3210" w:rsidRDefault="00A52311" w:rsidP="00B93F1B">
            <w:pPr>
              <w:rPr>
                <w:rFonts w:cs="Tahoma"/>
              </w:rPr>
            </w:pPr>
            <w:r>
              <w:rPr>
                <w:rFonts w:ascii="Segoe UI Symbol" w:eastAsia="MS Gothic" w:hAnsi="Segoe UI Symbol" w:cs="Segoe UI Symbol"/>
              </w:rPr>
              <w:t>x</w:t>
            </w:r>
          </w:p>
        </w:tc>
        <w:tc>
          <w:tcPr>
            <w:tcW w:w="1605" w:type="dxa"/>
          </w:tcPr>
          <w:p w14:paraId="02CB577B" w14:textId="05926DB7"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4DE7C88C" w14:textId="29377F96" w:rsidR="00F069DE" w:rsidRPr="00CE3210" w:rsidRDefault="007605B6" w:rsidP="00B93F1B">
            <w:pPr>
              <w:rPr>
                <w:rFonts w:cs="Tahoma"/>
              </w:rPr>
            </w:pPr>
            <w:r w:rsidRPr="00CE3210">
              <w:rPr>
                <w:rFonts w:ascii="Segoe UI Symbol" w:eastAsia="MS Gothic" w:hAnsi="Segoe UI Symbol" w:cs="Segoe UI Symbol"/>
              </w:rPr>
              <w:t>☐</w:t>
            </w:r>
          </w:p>
        </w:tc>
      </w:tr>
      <w:tr w:rsidR="00F069DE" w:rsidRPr="0011618E" w14:paraId="46500B44" w14:textId="77777777" w:rsidTr="00B93F1B">
        <w:tc>
          <w:tcPr>
            <w:tcW w:w="1604" w:type="dxa"/>
          </w:tcPr>
          <w:p w14:paraId="7FD54D72" w14:textId="77777777" w:rsidR="00F069DE" w:rsidRPr="0011618E" w:rsidRDefault="00F069DE">
            <w:pPr>
              <w:pStyle w:val="GMCA-Ztext"/>
              <w:numPr>
                <w:ilvl w:val="0"/>
                <w:numId w:val="12"/>
              </w:numPr>
            </w:pPr>
            <w:r>
              <w:t>The amended duties are clear.</w:t>
            </w:r>
          </w:p>
        </w:tc>
        <w:tc>
          <w:tcPr>
            <w:tcW w:w="1605" w:type="dxa"/>
          </w:tcPr>
          <w:p w14:paraId="35090C85" w14:textId="236B53C0"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373218C4" w14:textId="02802F6C" w:rsidR="00F069DE" w:rsidRPr="00CE3210" w:rsidRDefault="00A52311" w:rsidP="00B93F1B">
            <w:pPr>
              <w:rPr>
                <w:rFonts w:cs="Tahoma"/>
              </w:rPr>
            </w:pPr>
            <w:r>
              <w:rPr>
                <w:rFonts w:ascii="Segoe UI Symbol" w:eastAsia="MS Gothic" w:hAnsi="Segoe UI Symbol" w:cs="Segoe UI Symbol"/>
              </w:rPr>
              <w:t>x</w:t>
            </w:r>
          </w:p>
        </w:tc>
        <w:tc>
          <w:tcPr>
            <w:tcW w:w="1605" w:type="dxa"/>
          </w:tcPr>
          <w:p w14:paraId="17ECF7DD" w14:textId="71088D7B"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78ED98E5" w14:textId="2F073FDB"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4E0F918F" w14:textId="1796DCAE" w:rsidR="00F069DE" w:rsidRPr="00CE3210" w:rsidRDefault="007605B6" w:rsidP="00B93F1B">
            <w:pPr>
              <w:rPr>
                <w:rFonts w:cs="Tahoma"/>
              </w:rPr>
            </w:pPr>
            <w:r w:rsidRPr="00CE3210">
              <w:rPr>
                <w:rFonts w:ascii="Segoe UI Symbol" w:eastAsia="MS Gothic" w:hAnsi="Segoe UI Symbol" w:cs="Segoe UI Symbol"/>
              </w:rPr>
              <w:t>☐</w:t>
            </w:r>
          </w:p>
        </w:tc>
      </w:tr>
      <w:tr w:rsidR="00F069DE" w:rsidRPr="0011618E" w14:paraId="00683CE9" w14:textId="77777777" w:rsidTr="00B93F1B">
        <w:tc>
          <w:tcPr>
            <w:tcW w:w="1604" w:type="dxa"/>
          </w:tcPr>
          <w:p w14:paraId="07CD1443" w14:textId="77777777" w:rsidR="00F069DE" w:rsidRPr="0011618E" w:rsidRDefault="00F069DE">
            <w:pPr>
              <w:pStyle w:val="GMCA-Ztext"/>
              <w:numPr>
                <w:ilvl w:val="0"/>
                <w:numId w:val="12"/>
              </w:numPr>
            </w:pPr>
            <w:r w:rsidRPr="0011618E">
              <w:t xml:space="preserve">The amended duties are realistic. </w:t>
            </w:r>
          </w:p>
        </w:tc>
        <w:tc>
          <w:tcPr>
            <w:tcW w:w="1605" w:type="dxa"/>
          </w:tcPr>
          <w:p w14:paraId="618EF8AC" w14:textId="38941F9A"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44E6D060" w14:textId="7391610A" w:rsidR="00F069DE" w:rsidRPr="00CE3210" w:rsidRDefault="00A52311" w:rsidP="00B93F1B">
            <w:pPr>
              <w:rPr>
                <w:rFonts w:cs="Tahoma"/>
              </w:rPr>
            </w:pPr>
            <w:r>
              <w:rPr>
                <w:rFonts w:ascii="Segoe UI Symbol" w:eastAsia="MS Gothic" w:hAnsi="Segoe UI Symbol" w:cs="Segoe UI Symbol"/>
              </w:rPr>
              <w:t>x</w:t>
            </w:r>
          </w:p>
        </w:tc>
        <w:tc>
          <w:tcPr>
            <w:tcW w:w="1605" w:type="dxa"/>
          </w:tcPr>
          <w:p w14:paraId="65D4D04F" w14:textId="008539F4"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304853F2" w14:textId="1B05E7E4" w:rsidR="00F069DE" w:rsidRPr="00CE3210" w:rsidRDefault="007605B6" w:rsidP="00B93F1B">
            <w:pPr>
              <w:rPr>
                <w:rFonts w:cs="Tahoma"/>
              </w:rPr>
            </w:pPr>
            <w:r w:rsidRPr="00CE3210">
              <w:rPr>
                <w:rFonts w:ascii="Segoe UI Symbol" w:eastAsia="MS Gothic" w:hAnsi="Segoe UI Symbol" w:cs="Segoe UI Symbol"/>
              </w:rPr>
              <w:t>☐</w:t>
            </w:r>
          </w:p>
        </w:tc>
        <w:tc>
          <w:tcPr>
            <w:tcW w:w="1605" w:type="dxa"/>
          </w:tcPr>
          <w:p w14:paraId="61C93E4F" w14:textId="0A50CFA5" w:rsidR="00F069DE" w:rsidRPr="00CE3210" w:rsidRDefault="007605B6" w:rsidP="00B93F1B">
            <w:pPr>
              <w:rPr>
                <w:rFonts w:cs="Tahoma"/>
              </w:rPr>
            </w:pPr>
            <w:r w:rsidRPr="00CE3210">
              <w:rPr>
                <w:rFonts w:ascii="Segoe UI Symbol" w:eastAsia="MS Gothic" w:hAnsi="Segoe UI Symbol" w:cs="Segoe UI Symbol"/>
              </w:rPr>
              <w:t>☐</w:t>
            </w:r>
          </w:p>
        </w:tc>
      </w:tr>
    </w:tbl>
    <w:p w14:paraId="30C2ACB6" w14:textId="77777777" w:rsidR="00F069DE" w:rsidRDefault="00F069DE" w:rsidP="00F069DE"/>
    <w:p w14:paraId="3EC49820" w14:textId="77777777" w:rsidR="006A7F97" w:rsidRDefault="006A7F97" w:rsidP="006A7F97">
      <w:pPr>
        <w:pStyle w:val="GMCNormalBold"/>
      </w:pPr>
      <w:r>
        <w:t xml:space="preserve">We’d welcome any other feedback including, for example, whether the amended guidance will help support practice, whether it could apply to all medical professionals and whether there could be any unintended consequences arising from it. </w:t>
      </w:r>
    </w:p>
    <w:p w14:paraId="170CC6D7" w14:textId="77777777" w:rsidR="006A7F97" w:rsidRPr="00A3786B" w:rsidRDefault="006A7F97" w:rsidP="006A7F97">
      <w:pPr>
        <w:pStyle w:val="GMCNumbertext"/>
        <w:numPr>
          <w:ilvl w:val="0"/>
          <w:numId w:val="1"/>
        </w:numPr>
      </w:pPr>
      <w:r w:rsidRPr="00A3786B">
        <w:t xml:space="preserve">Comments </w:t>
      </w:r>
      <w:r>
        <w:t>on theme one</w:t>
      </w:r>
    </w:p>
    <w:tbl>
      <w:tblPr>
        <w:tblStyle w:val="TableGrid"/>
        <w:tblW w:w="0" w:type="auto"/>
        <w:tblInd w:w="510" w:type="dxa"/>
        <w:tblLook w:val="04A0" w:firstRow="1" w:lastRow="0" w:firstColumn="1" w:lastColumn="0" w:noHBand="0" w:noVBand="1"/>
      </w:tblPr>
      <w:tblGrid>
        <w:gridCol w:w="9119"/>
      </w:tblGrid>
      <w:tr w:rsidR="006A7F97" w14:paraId="105DAA39" w14:textId="77777777" w:rsidTr="5305D027">
        <w:tc>
          <w:tcPr>
            <w:tcW w:w="9629" w:type="dxa"/>
          </w:tcPr>
          <w:p w14:paraId="6034D6F5" w14:textId="29C39E78" w:rsidR="006A7F97" w:rsidRPr="00A52311" w:rsidRDefault="00A52311" w:rsidP="00B93F1B">
            <w:r w:rsidRPr="00A52311">
              <w:t xml:space="preserve">We feel that </w:t>
            </w:r>
            <w:r w:rsidR="00405301">
              <w:t>‘</w:t>
            </w:r>
            <w:r>
              <w:t>Theme one: tackling discrimination and promoting fairness and inclusion</w:t>
            </w:r>
            <w:r w:rsidR="00405301">
              <w:t>’</w:t>
            </w:r>
            <w:r w:rsidR="00F91A02">
              <w:t xml:space="preserve"> is overall </w:t>
            </w:r>
            <w:r w:rsidR="00405301">
              <w:t xml:space="preserve">a </w:t>
            </w:r>
            <w:r w:rsidR="00F91A02">
              <w:t xml:space="preserve">positive step forward. We disagree that it </w:t>
            </w:r>
            <w:r w:rsidR="00F91A02" w:rsidRPr="0011618E">
              <w:t xml:space="preserve">sets the </w:t>
            </w:r>
            <w:r w:rsidR="00F91A02" w:rsidRPr="00F91A02">
              <w:rPr>
                <w:u w:val="single"/>
              </w:rPr>
              <w:t xml:space="preserve">right </w:t>
            </w:r>
            <w:r w:rsidR="00F91A02" w:rsidRPr="0011618E">
              <w:t>expectations</w:t>
            </w:r>
            <w:r w:rsidR="00F91A02">
              <w:t xml:space="preserve"> only in the sense that more could be said. For instance, regarding</w:t>
            </w:r>
            <w:r w:rsidR="00212BC6">
              <w:t xml:space="preserve"> discrimination and fairness, </w:t>
            </w:r>
            <w:r w:rsidR="00F91A02">
              <w:t xml:space="preserve">the guidance could </w:t>
            </w:r>
            <w:r w:rsidR="00F91A02" w:rsidRPr="00F91A02">
              <w:t>be more explicit about actively exploring social</w:t>
            </w:r>
            <w:r w:rsidR="00F0708E">
              <w:t xml:space="preserve">, </w:t>
            </w:r>
            <w:proofErr w:type="gramStart"/>
            <w:r w:rsidR="00F0708E">
              <w:t>cultural</w:t>
            </w:r>
            <w:proofErr w:type="gramEnd"/>
            <w:r w:rsidR="00F91A02" w:rsidRPr="00F91A02">
              <w:t xml:space="preserve"> and economic factors rather than the more passive ‘taking account</w:t>
            </w:r>
            <w:r w:rsidR="00212BC6">
              <w:t xml:space="preserve"> of</w:t>
            </w:r>
            <w:r w:rsidR="00F91A02" w:rsidRPr="00F91A02">
              <w:t>’ which could be based on assumptions</w:t>
            </w:r>
            <w:r w:rsidR="00405301">
              <w:t>,</w:t>
            </w:r>
            <w:r w:rsidR="00F91A02" w:rsidRPr="00F91A02">
              <w:t xml:space="preserve"> rather than adequate history </w:t>
            </w:r>
            <w:r w:rsidR="00F91A02" w:rsidRPr="00F91A02">
              <w:lastRenderedPageBreak/>
              <w:t>taking at the individual level</w:t>
            </w:r>
            <w:r w:rsidR="00212BC6">
              <w:t xml:space="preserve">. </w:t>
            </w:r>
            <w:r w:rsidR="00F91A02" w:rsidRPr="00F91A02">
              <w:t xml:space="preserve"> </w:t>
            </w:r>
            <w:r w:rsidR="00212BC6">
              <w:t>I</w:t>
            </w:r>
            <w:r w:rsidR="00212BC6" w:rsidRPr="00F91A02">
              <w:t xml:space="preserve">mpacts </w:t>
            </w:r>
            <w:r w:rsidR="00212BC6">
              <w:t>should also be</w:t>
            </w:r>
            <w:r w:rsidR="00F91A02" w:rsidRPr="00F91A02">
              <w:t xml:space="preserve"> explor</w:t>
            </w:r>
            <w:r w:rsidR="00212BC6">
              <w:t>ed</w:t>
            </w:r>
            <w:r w:rsidR="00F91A02" w:rsidRPr="00F91A02">
              <w:t xml:space="preserve"> at a population level</w:t>
            </w:r>
            <w:r w:rsidR="00212BC6">
              <w:t>,</w:t>
            </w:r>
            <w:r w:rsidR="00F91A02" w:rsidRPr="00F91A02">
              <w:t xml:space="preserve"> relevant to public health or pharmaceutical medicine</w:t>
            </w:r>
            <w:r w:rsidR="00212BC6">
              <w:t>.</w:t>
            </w:r>
            <w:r w:rsidR="00F91A02" w:rsidRPr="00F91A02">
              <w:t xml:space="preserve"> </w:t>
            </w:r>
          </w:p>
          <w:p w14:paraId="5161907E" w14:textId="28C644F5" w:rsidR="0CC751EE" w:rsidRDefault="00212BC6" w:rsidP="0CC751EE">
            <w:pPr>
              <w:rPr>
                <w:color w:val="000000" w:themeColor="text1"/>
                <w:highlight w:val="yellow"/>
              </w:rPr>
            </w:pPr>
            <w:r w:rsidRPr="00212BC6">
              <w:rPr>
                <w:color w:val="000000" w:themeColor="text1"/>
              </w:rPr>
              <w:t xml:space="preserve">In discussing </w:t>
            </w:r>
            <w:r w:rsidR="2CD62766" w:rsidRPr="00212BC6">
              <w:rPr>
                <w:color w:val="000000" w:themeColor="text1"/>
              </w:rPr>
              <w:t xml:space="preserve">sexual </w:t>
            </w:r>
            <w:r w:rsidR="00766F79" w:rsidRPr="00212BC6">
              <w:rPr>
                <w:color w:val="000000" w:themeColor="text1"/>
              </w:rPr>
              <w:t>harassment</w:t>
            </w:r>
            <w:r w:rsidR="2CD62766" w:rsidRPr="00212BC6">
              <w:rPr>
                <w:color w:val="000000" w:themeColor="text1"/>
              </w:rPr>
              <w:t xml:space="preserve">, </w:t>
            </w:r>
            <w:r w:rsidRPr="00212BC6">
              <w:rPr>
                <w:color w:val="000000" w:themeColor="text1"/>
              </w:rPr>
              <w:t xml:space="preserve">it may be helpful to </w:t>
            </w:r>
            <w:r w:rsidR="2CD62766" w:rsidRPr="00212BC6">
              <w:rPr>
                <w:color w:val="000000" w:themeColor="text1"/>
              </w:rPr>
              <w:t>add something that reflects a need to be aware of changing societal norms and expectations for behaviour</w:t>
            </w:r>
            <w:r>
              <w:rPr>
                <w:color w:val="000000" w:themeColor="text1"/>
              </w:rPr>
              <w:t>.</w:t>
            </w:r>
            <w:r w:rsidR="2CD62766" w:rsidRPr="2CD62766">
              <w:rPr>
                <w:color w:val="000000" w:themeColor="text1"/>
                <w:highlight w:val="yellow"/>
              </w:rPr>
              <w:t xml:space="preserve"> </w:t>
            </w:r>
          </w:p>
          <w:p w14:paraId="7C27726D" w14:textId="7987A8E7" w:rsidR="006A7F97" w:rsidRPr="001F2470" w:rsidRDefault="00766F79" w:rsidP="00B93F1B">
            <w:pPr>
              <w:rPr>
                <w:color w:val="000000" w:themeColor="text1"/>
              </w:rPr>
            </w:pPr>
            <w:r>
              <w:rPr>
                <w:color w:val="000000" w:themeColor="text1"/>
              </w:rPr>
              <w:t xml:space="preserve">Some </w:t>
            </w:r>
            <w:r w:rsidR="00B77E6F">
              <w:rPr>
                <w:color w:val="000000" w:themeColor="text1"/>
              </w:rPr>
              <w:t>reviewers</w:t>
            </w:r>
            <w:r w:rsidRPr="00766F79">
              <w:rPr>
                <w:color w:val="000000" w:themeColor="text1"/>
              </w:rPr>
              <w:t xml:space="preserve"> had a concern around the wording in paragraph</w:t>
            </w:r>
            <w:r w:rsidR="2CD62766" w:rsidRPr="00766F79">
              <w:rPr>
                <w:color w:val="000000" w:themeColor="text1"/>
              </w:rPr>
              <w:t xml:space="preserve"> 73</w:t>
            </w:r>
            <w:r>
              <w:rPr>
                <w:color w:val="000000" w:themeColor="text1"/>
              </w:rPr>
              <w:t>. In qualifying the expression of personal beliefs to include religious beliefs it</w:t>
            </w:r>
            <w:r w:rsidR="2CD62766" w:rsidRPr="00766F79">
              <w:rPr>
                <w:color w:val="000000" w:themeColor="text1"/>
              </w:rPr>
              <w:t xml:space="preserve"> could be seen as not promoting inclusion and diversity among</w:t>
            </w:r>
            <w:r>
              <w:rPr>
                <w:color w:val="000000" w:themeColor="text1"/>
              </w:rPr>
              <w:t xml:space="preserve"> a multicultural</w:t>
            </w:r>
            <w:r w:rsidR="2CD62766" w:rsidRPr="00766F79">
              <w:rPr>
                <w:color w:val="000000" w:themeColor="text1"/>
              </w:rPr>
              <w:t xml:space="preserve"> workforce. </w:t>
            </w:r>
            <w:r>
              <w:rPr>
                <w:color w:val="000000" w:themeColor="text1"/>
              </w:rPr>
              <w:t xml:space="preserve">Perhaps the </w:t>
            </w:r>
            <w:r w:rsidR="001F2470">
              <w:rPr>
                <w:color w:val="000000" w:themeColor="text1"/>
              </w:rPr>
              <w:t>inclusion of the text “in ways that are intended to exploit or threaten their vulnerability or cause distress” adequately negates these concerns</w:t>
            </w:r>
            <w:r w:rsidR="00B77E6F">
              <w:rPr>
                <w:color w:val="000000" w:themeColor="text1"/>
              </w:rPr>
              <w:t>,</w:t>
            </w:r>
            <w:r w:rsidR="001F2470">
              <w:rPr>
                <w:color w:val="000000" w:themeColor="text1"/>
              </w:rPr>
              <w:t xml:space="preserve"> but is it necessary to include any examples of</w:t>
            </w:r>
            <w:r w:rsidR="006F0600">
              <w:rPr>
                <w:color w:val="000000" w:themeColor="text1"/>
              </w:rPr>
              <w:t xml:space="preserve"> categories of</w:t>
            </w:r>
            <w:r w:rsidR="001F2470">
              <w:rPr>
                <w:color w:val="000000" w:themeColor="text1"/>
              </w:rPr>
              <w:t xml:space="preserve"> “personal beliefs’?</w:t>
            </w:r>
          </w:p>
        </w:tc>
      </w:tr>
    </w:tbl>
    <w:p w14:paraId="74581276" w14:textId="77777777" w:rsidR="006A7F97" w:rsidRPr="008F0365" w:rsidRDefault="006A7F97" w:rsidP="006A7F97">
      <w:pPr>
        <w:pStyle w:val="GMCNumbertext"/>
        <w:numPr>
          <w:ilvl w:val="0"/>
          <w:numId w:val="0"/>
        </w:numPr>
        <w:rPr>
          <w:highlight w:val="yellow"/>
        </w:rPr>
      </w:pPr>
    </w:p>
    <w:p w14:paraId="175C5392" w14:textId="18D0B306" w:rsidR="006A7F97" w:rsidRDefault="006A7F97">
      <w:pPr>
        <w:spacing w:after="0" w:line="240" w:lineRule="auto"/>
        <w:rPr>
          <w:bCs/>
          <w:iCs/>
          <w:color w:val="00377B"/>
          <w:kern w:val="32"/>
          <w:sz w:val="32"/>
          <w:szCs w:val="28"/>
        </w:rPr>
      </w:pPr>
      <w:r>
        <w:rPr>
          <w:bCs/>
          <w:iCs/>
          <w:color w:val="00377B"/>
          <w:kern w:val="32"/>
          <w:sz w:val="32"/>
          <w:szCs w:val="28"/>
        </w:rPr>
        <w:br w:type="page"/>
      </w:r>
    </w:p>
    <w:p w14:paraId="143CD743" w14:textId="77777777" w:rsidR="006A7F97" w:rsidRDefault="006A7F97" w:rsidP="006A7F97">
      <w:pPr>
        <w:pStyle w:val="Heading2"/>
      </w:pPr>
      <w:r>
        <w:lastRenderedPageBreak/>
        <w:t>Theme two: Working in partnership with patients</w:t>
      </w:r>
    </w:p>
    <w:p w14:paraId="7D1AE16E" w14:textId="77777777" w:rsidR="006A7F97" w:rsidRDefault="006A7F97" w:rsidP="006A7F97">
      <w:r>
        <w:t xml:space="preserve">During our pre-consultation engagement, we asked for feedback on whether GMP has enough emphasis on patient expectations, needs and rights. Just over half of those we heard from agreed there is. But some respondents said that GMP does not go far enough to highlight the responsibility of medical professionals to facilitate patients’ rights to make decisions for themselves and to be supported to do so. </w:t>
      </w:r>
    </w:p>
    <w:p w14:paraId="0B472CBB" w14:textId="77777777" w:rsidR="006A7F97" w:rsidRDefault="006A7F97" w:rsidP="006A7F97">
      <w:r>
        <w:t>Research into patient experiences and expectations also shows the continuing importance of medical professionals working in partnership with patients. This includes:</w:t>
      </w:r>
    </w:p>
    <w:p w14:paraId="448BA779" w14:textId="77777777" w:rsidR="006A7F97" w:rsidRDefault="006A7F97">
      <w:pPr>
        <w:pStyle w:val="ListBullet"/>
        <w:numPr>
          <w:ilvl w:val="0"/>
          <w:numId w:val="3"/>
        </w:numPr>
      </w:pPr>
      <w:r>
        <w:t>patients being treated as individuals</w:t>
      </w:r>
    </w:p>
    <w:p w14:paraId="3CA4A6DF" w14:textId="77777777" w:rsidR="006A7F97" w:rsidRDefault="006A7F97">
      <w:pPr>
        <w:pStyle w:val="ListBullet"/>
        <w:numPr>
          <w:ilvl w:val="0"/>
          <w:numId w:val="3"/>
        </w:numPr>
      </w:pPr>
      <w:r>
        <w:t xml:space="preserve">patients receiving enough information to make informed decisions about their care and in a way they can understand </w:t>
      </w:r>
    </w:p>
    <w:p w14:paraId="13A291A8" w14:textId="77777777" w:rsidR="006A7F97" w:rsidRDefault="006A7F97">
      <w:pPr>
        <w:pStyle w:val="ListBullet"/>
        <w:numPr>
          <w:ilvl w:val="0"/>
          <w:numId w:val="3"/>
        </w:numPr>
      </w:pPr>
      <w:r>
        <w:t xml:space="preserve">medical professionals managing conversations in a sensitive way. </w:t>
      </w:r>
    </w:p>
    <w:p w14:paraId="5EBA88EF" w14:textId="77777777" w:rsidR="006A7F97" w:rsidRDefault="006A7F97" w:rsidP="006A7F97">
      <w:r>
        <w:t xml:space="preserve">Over the past five years, our fitness to practise data has shown that most complaints from patients involve a communication element.  </w:t>
      </w:r>
    </w:p>
    <w:p w14:paraId="5BE8A073" w14:textId="77777777" w:rsidR="006A7F97" w:rsidRDefault="006A7F97" w:rsidP="006A7F97">
      <w:pPr>
        <w:pStyle w:val="Heading3"/>
      </w:pPr>
      <w:r>
        <w:t>Updates to highlight decision making and consent</w:t>
      </w:r>
    </w:p>
    <w:p w14:paraId="06604D13" w14:textId="77777777" w:rsidR="006A7F97" w:rsidRPr="00E334B5" w:rsidRDefault="006A7F97" w:rsidP="006A7F97">
      <w:r>
        <w:t xml:space="preserve">Given this feedback and data, we’ve incorporated several principles from our </w:t>
      </w:r>
      <w:r w:rsidRPr="00E00EB2">
        <w:rPr>
          <w:i/>
          <w:iCs/>
        </w:rPr>
        <w:t xml:space="preserve">Decision </w:t>
      </w:r>
      <w:r w:rsidRPr="00E334B5">
        <w:rPr>
          <w:i/>
          <w:iCs/>
        </w:rPr>
        <w:t xml:space="preserve">making and consent </w:t>
      </w:r>
      <w:r w:rsidRPr="00E334B5">
        <w:t>guidance into GMP to give them more prominence:</w:t>
      </w:r>
    </w:p>
    <w:p w14:paraId="37797798" w14:textId="77777777" w:rsidR="006A7F97" w:rsidRPr="00E334B5" w:rsidRDefault="5305D027">
      <w:pPr>
        <w:pStyle w:val="ListBullet"/>
        <w:numPr>
          <w:ilvl w:val="0"/>
          <w:numId w:val="3"/>
        </w:numPr>
      </w:pPr>
      <w:r w:rsidRPr="5305D027">
        <w:rPr>
          <w:b/>
          <w:bCs/>
        </w:rPr>
        <w:t>New duty at paragraph 28,</w:t>
      </w:r>
      <w:r>
        <w:t xml:space="preserve"> which says that medical professionals must try to find out what matters to patients. This helps medical professionals share relevant information about the benefits and harms of proposed options and reasonable alternatives, including the option to take no action. </w:t>
      </w:r>
    </w:p>
    <w:p w14:paraId="49EDC3B5" w14:textId="77777777" w:rsidR="006A7F97" w:rsidRPr="00E334B5" w:rsidRDefault="006A7F97">
      <w:pPr>
        <w:pStyle w:val="ListBullet"/>
        <w:numPr>
          <w:ilvl w:val="0"/>
          <w:numId w:val="3"/>
        </w:numPr>
        <w:rPr>
          <w:i/>
          <w:iCs/>
        </w:rPr>
      </w:pPr>
      <w:r w:rsidRPr="00E334B5">
        <w:rPr>
          <w:b/>
          <w:bCs/>
        </w:rPr>
        <w:t xml:space="preserve">Amended previous paragraph 32 (now paragraph 34) </w:t>
      </w:r>
      <w:r w:rsidRPr="00E334B5">
        <w:t>to say that medical professionals should check the patient’s understanding of the information they have been given, and make sure they have the time and support to make informed decisions if they are able.</w:t>
      </w:r>
    </w:p>
    <w:p w14:paraId="4179C727" w14:textId="77777777" w:rsidR="006A7F97" w:rsidRPr="00E334B5" w:rsidRDefault="73E1FFEE">
      <w:pPr>
        <w:pStyle w:val="ListBullet"/>
        <w:numPr>
          <w:ilvl w:val="0"/>
          <w:numId w:val="3"/>
        </w:numPr>
      </w:pPr>
      <w:r w:rsidRPr="73E1FFEE">
        <w:rPr>
          <w:b/>
          <w:bCs/>
        </w:rPr>
        <w:t>New duty at paragraph 32</w:t>
      </w:r>
      <w:r>
        <w:t>, which says medical professionals must be aware of the legal requirements around, for example, mental capacity and mental health law and have regard to the relevant codes of conduct and our guidance. This was identified in engagement as a gap in current GMP.</w:t>
      </w:r>
    </w:p>
    <w:p w14:paraId="77D9F92F" w14:textId="77777777" w:rsidR="006A7F97" w:rsidRPr="00E00EB2" w:rsidRDefault="006A7F97">
      <w:pPr>
        <w:pStyle w:val="ListBullet"/>
        <w:numPr>
          <w:ilvl w:val="0"/>
          <w:numId w:val="3"/>
        </w:numPr>
        <w:rPr>
          <w:b/>
          <w:bCs/>
          <w:i/>
          <w:iCs/>
        </w:rPr>
      </w:pPr>
      <w:r w:rsidRPr="00E334B5">
        <w:rPr>
          <w:b/>
          <w:bCs/>
        </w:rPr>
        <w:t xml:space="preserve">Added new subparagraph b to existing paragraph 49 (now paragraph 33) </w:t>
      </w:r>
      <w:r w:rsidRPr="00E334B5">
        <w:t>to say that information patients need to make decisions about their care includes ‘clear, accurate and up-to-date information, based on the best available evidence, about the</w:t>
      </w:r>
      <w:r w:rsidRPr="00B41C75">
        <w:t xml:space="preserve"> potential benefits and risks of harm of available options, including the option to take no action</w:t>
      </w:r>
      <w:r>
        <w:t xml:space="preserve">.’ </w:t>
      </w:r>
    </w:p>
    <w:p w14:paraId="00396E00" w14:textId="77777777" w:rsidR="006A7F97" w:rsidRDefault="006A7F97" w:rsidP="006A7F97">
      <w:pPr>
        <w:pStyle w:val="GMCNormalBold"/>
      </w:pPr>
      <w:r>
        <w:lastRenderedPageBreak/>
        <w:t xml:space="preserve">We’d welcome your feedback on adding guidance from </w:t>
      </w:r>
      <w:r w:rsidRPr="00E61377">
        <w:rPr>
          <w:i/>
          <w:iCs/>
        </w:rPr>
        <w:t>Decision making and consent</w:t>
      </w:r>
      <w:r>
        <w:t xml:space="preserve"> to the core professional guidance. We believe this will help to better embed the guidance but recognise that the principles could be taken out of context without the additional information in the more detailed guidance.  </w:t>
      </w:r>
    </w:p>
    <w:p w14:paraId="363D9519" w14:textId="77777777" w:rsidR="006A7F97" w:rsidRPr="00A3786B" w:rsidRDefault="006A7F97" w:rsidP="006A7F97">
      <w:pPr>
        <w:pStyle w:val="GMCNumbertext"/>
        <w:numPr>
          <w:ilvl w:val="0"/>
          <w:numId w:val="1"/>
        </w:numPr>
      </w:pPr>
      <w:bookmarkStart w:id="14" w:name="_Hlk90311382"/>
      <w:r w:rsidRPr="00A3786B">
        <w:t xml:space="preserve">How far do you agree or disagree that GMP should include extra duties from DMC? </w:t>
      </w:r>
    </w:p>
    <w:tbl>
      <w:tblPr>
        <w:tblStyle w:val="TableGrid"/>
        <w:tblW w:w="7582" w:type="dxa"/>
        <w:tblLook w:val="04A0" w:firstRow="1" w:lastRow="0" w:firstColumn="1" w:lastColumn="0" w:noHBand="0" w:noVBand="1"/>
      </w:tblPr>
      <w:tblGrid>
        <w:gridCol w:w="1534"/>
        <w:gridCol w:w="1482"/>
        <w:gridCol w:w="1546"/>
        <w:gridCol w:w="1546"/>
        <w:gridCol w:w="1474"/>
      </w:tblGrid>
      <w:tr w:rsidR="006A7F97" w:rsidRPr="00A3786B" w14:paraId="0BCF6233" w14:textId="77777777" w:rsidTr="00B93F1B">
        <w:tc>
          <w:tcPr>
            <w:tcW w:w="1534" w:type="dxa"/>
          </w:tcPr>
          <w:p w14:paraId="738DA22B" w14:textId="4DB37863" w:rsidR="006A7F97" w:rsidRPr="00A3786B" w:rsidRDefault="00FD4066" w:rsidP="00B93F1B">
            <w:pPr>
              <w:rPr>
                <w:b/>
                <w:bCs/>
              </w:rPr>
            </w:pPr>
            <w:r>
              <w:rPr>
                <w:b/>
                <w:bCs/>
              </w:rPr>
              <w:t>S</w:t>
            </w:r>
            <w:r w:rsidR="006A7F97" w:rsidRPr="00A3786B">
              <w:rPr>
                <w:b/>
                <w:bCs/>
              </w:rPr>
              <w:t>trongly</w:t>
            </w:r>
            <w:r>
              <w:rPr>
                <w:b/>
                <w:bCs/>
              </w:rPr>
              <w:t xml:space="preserve"> agree</w:t>
            </w:r>
          </w:p>
        </w:tc>
        <w:tc>
          <w:tcPr>
            <w:tcW w:w="1482" w:type="dxa"/>
          </w:tcPr>
          <w:p w14:paraId="1B933BCB" w14:textId="77777777" w:rsidR="006A7F97" w:rsidRPr="00A3786B" w:rsidRDefault="006A7F97" w:rsidP="00B93F1B">
            <w:pPr>
              <w:rPr>
                <w:b/>
                <w:bCs/>
              </w:rPr>
            </w:pPr>
            <w:r w:rsidRPr="00A3786B">
              <w:rPr>
                <w:b/>
                <w:bCs/>
              </w:rPr>
              <w:t>Agree</w:t>
            </w:r>
          </w:p>
        </w:tc>
        <w:tc>
          <w:tcPr>
            <w:tcW w:w="1546" w:type="dxa"/>
          </w:tcPr>
          <w:p w14:paraId="7A698B12" w14:textId="77777777" w:rsidR="006A7F97" w:rsidRPr="00A3786B" w:rsidRDefault="006A7F97" w:rsidP="00B93F1B">
            <w:pPr>
              <w:rPr>
                <w:b/>
                <w:bCs/>
              </w:rPr>
            </w:pPr>
            <w:r w:rsidRPr="00A3786B">
              <w:rPr>
                <w:b/>
                <w:bCs/>
              </w:rPr>
              <w:t xml:space="preserve">Disagree </w:t>
            </w:r>
          </w:p>
        </w:tc>
        <w:tc>
          <w:tcPr>
            <w:tcW w:w="1546" w:type="dxa"/>
          </w:tcPr>
          <w:p w14:paraId="3E0937D0" w14:textId="668B2DC9" w:rsidR="006A7F97" w:rsidRPr="00A3786B" w:rsidRDefault="00FD4066" w:rsidP="00B93F1B">
            <w:pPr>
              <w:rPr>
                <w:b/>
                <w:bCs/>
              </w:rPr>
            </w:pPr>
            <w:r>
              <w:rPr>
                <w:b/>
                <w:bCs/>
              </w:rPr>
              <w:t>S</w:t>
            </w:r>
            <w:r w:rsidR="006A7F97" w:rsidRPr="00A3786B">
              <w:rPr>
                <w:b/>
                <w:bCs/>
              </w:rPr>
              <w:t>trongly</w:t>
            </w:r>
            <w:r>
              <w:rPr>
                <w:b/>
                <w:bCs/>
              </w:rPr>
              <w:t xml:space="preserve"> disagree</w:t>
            </w:r>
          </w:p>
        </w:tc>
        <w:tc>
          <w:tcPr>
            <w:tcW w:w="1474" w:type="dxa"/>
          </w:tcPr>
          <w:p w14:paraId="02AEED39" w14:textId="77777777" w:rsidR="006A7F97" w:rsidRPr="00A3786B" w:rsidRDefault="006A7F97" w:rsidP="00B93F1B">
            <w:pPr>
              <w:rPr>
                <w:b/>
                <w:bCs/>
              </w:rPr>
            </w:pPr>
            <w:r w:rsidRPr="00A3786B">
              <w:rPr>
                <w:b/>
                <w:bCs/>
              </w:rPr>
              <w:t>Don’t know</w:t>
            </w:r>
          </w:p>
        </w:tc>
      </w:tr>
      <w:tr w:rsidR="006A7F97" w:rsidRPr="00A3786B" w14:paraId="3E1F66C3" w14:textId="77777777" w:rsidTr="00B93F1B">
        <w:tc>
          <w:tcPr>
            <w:tcW w:w="1534" w:type="dxa"/>
          </w:tcPr>
          <w:p w14:paraId="2DF704BD" w14:textId="32C5BC47" w:rsidR="006A7F97" w:rsidRPr="00CE3210" w:rsidRDefault="00FC48DE" w:rsidP="00B93F1B">
            <w:pPr>
              <w:rPr>
                <w:rFonts w:cs="Tahoma"/>
                <w:b/>
                <w:bCs/>
              </w:rPr>
            </w:pPr>
            <w:r w:rsidRPr="00CE3210">
              <w:rPr>
                <w:rFonts w:ascii="Segoe UI Symbol" w:eastAsia="MS Gothic" w:hAnsi="Segoe UI Symbol" w:cs="Segoe UI Symbol"/>
                <w:b/>
                <w:bCs/>
              </w:rPr>
              <w:t>☐</w:t>
            </w:r>
          </w:p>
        </w:tc>
        <w:tc>
          <w:tcPr>
            <w:tcW w:w="1482" w:type="dxa"/>
          </w:tcPr>
          <w:p w14:paraId="787D98B2" w14:textId="3B0EE058" w:rsidR="006A7F97" w:rsidRPr="00CE3210" w:rsidRDefault="00EB045E" w:rsidP="00B93F1B">
            <w:pPr>
              <w:rPr>
                <w:rFonts w:cs="Tahoma"/>
                <w:b/>
                <w:bCs/>
              </w:rPr>
            </w:pPr>
            <w:r>
              <w:rPr>
                <w:rFonts w:ascii="Segoe UI Symbol" w:eastAsia="MS Gothic" w:hAnsi="Segoe UI Symbol" w:cs="Segoe UI Symbol"/>
                <w:b/>
                <w:bCs/>
              </w:rPr>
              <w:t>x</w:t>
            </w:r>
          </w:p>
        </w:tc>
        <w:tc>
          <w:tcPr>
            <w:tcW w:w="1546" w:type="dxa"/>
          </w:tcPr>
          <w:p w14:paraId="0557D1A7" w14:textId="2348FD1C" w:rsidR="006A7F97" w:rsidRPr="00CE3210" w:rsidRDefault="007605B6" w:rsidP="00B93F1B">
            <w:pPr>
              <w:rPr>
                <w:rFonts w:cs="Tahoma"/>
                <w:b/>
                <w:bCs/>
              </w:rPr>
            </w:pPr>
            <w:r w:rsidRPr="00CE3210">
              <w:rPr>
                <w:rFonts w:ascii="Segoe UI Symbol" w:eastAsia="MS Gothic" w:hAnsi="Segoe UI Symbol" w:cs="Segoe UI Symbol"/>
                <w:b/>
                <w:bCs/>
              </w:rPr>
              <w:t>☐</w:t>
            </w:r>
          </w:p>
        </w:tc>
        <w:tc>
          <w:tcPr>
            <w:tcW w:w="1546" w:type="dxa"/>
          </w:tcPr>
          <w:p w14:paraId="15129B9C" w14:textId="227FA79A" w:rsidR="006A7F97" w:rsidRPr="00CE3210" w:rsidRDefault="007605B6" w:rsidP="00B93F1B">
            <w:pPr>
              <w:rPr>
                <w:rFonts w:cs="Tahoma"/>
                <w:b/>
                <w:bCs/>
              </w:rPr>
            </w:pPr>
            <w:r w:rsidRPr="00CE3210">
              <w:rPr>
                <w:rFonts w:ascii="Segoe UI Symbol" w:eastAsia="MS Gothic" w:hAnsi="Segoe UI Symbol" w:cs="Segoe UI Symbol"/>
                <w:b/>
                <w:bCs/>
              </w:rPr>
              <w:t>☐</w:t>
            </w:r>
          </w:p>
        </w:tc>
        <w:tc>
          <w:tcPr>
            <w:tcW w:w="1474" w:type="dxa"/>
          </w:tcPr>
          <w:p w14:paraId="05E85C09" w14:textId="1A1981BD" w:rsidR="006A7F97" w:rsidRPr="00CE3210" w:rsidRDefault="007605B6" w:rsidP="00B93F1B">
            <w:pPr>
              <w:rPr>
                <w:rFonts w:cs="Tahoma"/>
                <w:b/>
                <w:bCs/>
              </w:rPr>
            </w:pPr>
            <w:r w:rsidRPr="00CE3210">
              <w:rPr>
                <w:rFonts w:ascii="Segoe UI Symbol" w:eastAsia="MS Gothic" w:hAnsi="Segoe UI Symbol" w:cs="Segoe UI Symbol"/>
                <w:b/>
                <w:bCs/>
              </w:rPr>
              <w:t>☐</w:t>
            </w:r>
          </w:p>
        </w:tc>
      </w:tr>
    </w:tbl>
    <w:p w14:paraId="55B62819" w14:textId="77777777" w:rsidR="006A7F97" w:rsidRDefault="006A7F97" w:rsidP="006A7F97">
      <w:pPr>
        <w:pStyle w:val="GMCNumbertext"/>
        <w:numPr>
          <w:ilvl w:val="0"/>
          <w:numId w:val="0"/>
        </w:numPr>
        <w:ind w:left="510" w:hanging="510"/>
      </w:pPr>
    </w:p>
    <w:p w14:paraId="3DAADEC9" w14:textId="10161FD3" w:rsidR="2CD62766" w:rsidRDefault="2CD62766" w:rsidP="2CD62766">
      <w:pPr>
        <w:rPr>
          <w:color w:val="000000" w:themeColor="text1"/>
        </w:rPr>
      </w:pPr>
      <w:r>
        <w:t xml:space="preserve">Comments on theme two </w:t>
      </w:r>
    </w:p>
    <w:tbl>
      <w:tblPr>
        <w:tblStyle w:val="TableGrid"/>
        <w:tblW w:w="0" w:type="auto"/>
        <w:tblLook w:val="04A0" w:firstRow="1" w:lastRow="0" w:firstColumn="1" w:lastColumn="0" w:noHBand="0" w:noVBand="1"/>
      </w:tblPr>
      <w:tblGrid>
        <w:gridCol w:w="9629"/>
      </w:tblGrid>
      <w:tr w:rsidR="006A7F97" w14:paraId="5AC7DDD4" w14:textId="77777777" w:rsidTr="5305D027">
        <w:tc>
          <w:tcPr>
            <w:tcW w:w="9629" w:type="dxa"/>
          </w:tcPr>
          <w:p w14:paraId="226F2323" w14:textId="4BFEB58C" w:rsidR="00EB045E" w:rsidRDefault="00EB045E" w:rsidP="2CD62766">
            <w:r>
              <w:t>There is clearly a need to strike a balance here. Some key extra duties from DMC should be incorporated in th</w:t>
            </w:r>
            <w:r w:rsidR="006101EF">
              <w:t>is core professional</w:t>
            </w:r>
            <w:r>
              <w:t xml:space="preserve"> guidance with advice to refer to the full DMC guidance. As the DMC </w:t>
            </w:r>
            <w:r w:rsidR="006101EF">
              <w:t>underlines the importance of working in partnership with patients, and the importance of this theme in meeting patients’ expectations and developing trust, it seems appropriate to go beyond merely making reference to the availability of DMC.</w:t>
            </w:r>
          </w:p>
          <w:p w14:paraId="4C58D145" w14:textId="38E682AE" w:rsidR="006101EF" w:rsidRDefault="00592DCD" w:rsidP="2CD62766">
            <w:r>
              <w:t>FPM</w:t>
            </w:r>
            <w:r w:rsidR="00394C22">
              <w:t xml:space="preserve"> noted</w:t>
            </w:r>
            <w:r>
              <w:t>,</w:t>
            </w:r>
            <w:r w:rsidR="00394C22">
              <w:t xml:space="preserve"> with approval</w:t>
            </w:r>
            <w:r>
              <w:t>,</w:t>
            </w:r>
            <w:r w:rsidR="00394C22">
              <w:t xml:space="preserve"> that reference to other relevant codes of conduct is added to the guidance but would suggest that specific reference to GCP</w:t>
            </w:r>
            <w:r w:rsidR="00171042">
              <w:t xml:space="preserve"> and ethical standards in research</w:t>
            </w:r>
            <w:r w:rsidR="00394C22">
              <w:t xml:space="preserve"> is made. This is relevant to any doctor involved in clinical research</w:t>
            </w:r>
            <w:r w:rsidR="00AD27D4">
              <w:t>,</w:t>
            </w:r>
            <w:r w:rsidR="00394C22">
              <w:t xml:space="preserve"> whether or not they have direct contact with patients.</w:t>
            </w:r>
          </w:p>
          <w:p w14:paraId="2E1E4849" w14:textId="5DD97A2D" w:rsidR="002420B4" w:rsidRPr="00171042" w:rsidRDefault="00AD27D4" w:rsidP="00171042">
            <w:r>
              <w:t xml:space="preserve">Finding out “what matters to patients” is a welcome addition </w:t>
            </w:r>
            <w:r w:rsidR="00AC4AA7">
              <w:t>but this could be expanded to be relevant to those doctors who do not interact with individual patients. In pharmaceutical medicine, for instance, this is an important theme</w:t>
            </w:r>
            <w:r w:rsidR="00592DCD">
              <w:t>,</w:t>
            </w:r>
            <w:r w:rsidR="00AC4AA7">
              <w:t xml:space="preserve"> with increasing emphasis on the importance of patient reported outcomes that matter to patients.</w:t>
            </w:r>
            <w:r w:rsidR="00E943BB">
              <w:t xml:space="preserve"> This can involve patients providing a perspective of benefit</w:t>
            </w:r>
            <w:r w:rsidR="00171042">
              <w:t>-risk assessments of a treatment based on “what matters to patients”.</w:t>
            </w:r>
            <w:r w:rsidR="00AC4AA7">
              <w:t xml:space="preserve"> In public health, what matters to the “public”</w:t>
            </w:r>
            <w:r w:rsidR="00171042">
              <w:t>,</w:t>
            </w:r>
            <w:r w:rsidR="00AC4AA7">
              <w:t xml:space="preserve"> before they become patients</w:t>
            </w:r>
            <w:r w:rsidR="00171042">
              <w:t>,</w:t>
            </w:r>
            <w:r w:rsidR="00AC4AA7">
              <w:t xml:space="preserve"> should be an important consideration for doctors working in this area.</w:t>
            </w:r>
          </w:p>
        </w:tc>
      </w:tr>
    </w:tbl>
    <w:p w14:paraId="4095E887" w14:textId="77777777" w:rsidR="006A7F97" w:rsidRPr="00935B61" w:rsidRDefault="006A7F97" w:rsidP="006A7F97">
      <w:pPr>
        <w:rPr>
          <w:highlight w:val="yellow"/>
        </w:rPr>
      </w:pPr>
    </w:p>
    <w:p w14:paraId="52066D11" w14:textId="77777777" w:rsidR="006A7F97" w:rsidRDefault="006A7F97" w:rsidP="006A7F97">
      <w:pPr>
        <w:pStyle w:val="Heading3"/>
      </w:pPr>
      <w:r>
        <w:t>Patients’ needs, rights and expectations</w:t>
      </w:r>
    </w:p>
    <w:p w14:paraId="5B92FFD6" w14:textId="3BCFA0BE" w:rsidR="006A7F97" w:rsidRDefault="29F6B57D" w:rsidP="006A7F97">
      <w:r>
        <w:t>We also heard feedback that patients’ needs, rights and expectations could be strengthened in GMP. This included the suggestion that the guidance should be based on a proactive ‘</w:t>
      </w:r>
      <w:proofErr w:type="gramStart"/>
      <w:r>
        <w:t>rights based</w:t>
      </w:r>
      <w:proofErr w:type="gramEnd"/>
      <w:r>
        <w:t xml:space="preserve"> approach’ which would include ‘explicit reference to respecting specific rights’ to make sure patients’ rights are properly upheld and supported.</w:t>
      </w:r>
    </w:p>
    <w:p w14:paraId="316DACB4" w14:textId="2756709E" w:rsidR="006A7F97" w:rsidRDefault="29F6B57D" w:rsidP="006A7F97">
      <w:r>
        <w:lastRenderedPageBreak/>
        <w:t xml:space="preserve">We’ve considered how this could differ from our current approach where registrants’ responsibilities are framed around partnership working. This involves tailoring to the individual patient’s needs and preferences. The current approach reflects the fact that some patients can </w:t>
      </w:r>
      <w:proofErr w:type="spellStart"/>
      <w:r>
        <w:t>self advocate</w:t>
      </w:r>
      <w:proofErr w:type="spellEnd"/>
      <w:r>
        <w:t xml:space="preserve"> and are knowledgeable about legal rights relevant to their care, while others need or prefer more support to access treatment, care and with their decision-making. </w:t>
      </w:r>
    </w:p>
    <w:p w14:paraId="578747D0" w14:textId="77777777" w:rsidR="006A7F97" w:rsidRPr="00E334B5" w:rsidRDefault="006A7F97" w:rsidP="006A7F97">
      <w:r>
        <w:t xml:space="preserve">As such, we feel that the partnership approach underpinning GMP should make sure patients’ rights are respected and we’ve increased the focus on this in the guidance. We’ve also brought existing guidance together in domain two to give more prominence to patients’ fundamental legal rights, such as rights to dignity and privacy, and to be treated fairly </w:t>
      </w:r>
      <w:r w:rsidRPr="00E334B5">
        <w:t xml:space="preserve">and with respect. </w:t>
      </w:r>
    </w:p>
    <w:p w14:paraId="7BDAC8E8" w14:textId="77777777" w:rsidR="006A7F97" w:rsidRPr="00E334B5" w:rsidRDefault="006A7F97" w:rsidP="006A7F97">
      <w:pPr>
        <w:pStyle w:val="ListBullet"/>
      </w:pPr>
      <w:r w:rsidRPr="00E334B5">
        <w:rPr>
          <w:b/>
          <w:bCs/>
        </w:rPr>
        <w:t xml:space="preserve">Amended existing paragraph 46 (now paragraph 22) </w:t>
      </w:r>
      <w:r w:rsidRPr="00E334B5">
        <w:t>to say that medical professionals must treat patients with kindness, courtesy and respect. We’ve changed the terms to focus on the qualities that underpin partnership working. We’re particularly interested in views on the words ‘</w:t>
      </w:r>
      <w:proofErr w:type="gramStart"/>
      <w:r w:rsidRPr="00E334B5">
        <w:t>kindness’</w:t>
      </w:r>
      <w:proofErr w:type="gramEnd"/>
      <w:r w:rsidRPr="00E334B5">
        <w:t xml:space="preserve"> and ‘respect’, as we had mixed feedback during our pre-consultation engagement about what these terms mean in practice and whether they might be open to culturally biased interpretation. </w:t>
      </w:r>
    </w:p>
    <w:p w14:paraId="135A5E07" w14:textId="77777777" w:rsidR="006A7F97" w:rsidRPr="00E334B5" w:rsidRDefault="006A7F97" w:rsidP="006A7F97">
      <w:pPr>
        <w:pStyle w:val="ListBullet"/>
      </w:pPr>
      <w:r w:rsidRPr="00E334B5">
        <w:rPr>
          <w:b/>
          <w:bCs/>
        </w:rPr>
        <w:t xml:space="preserve">Amended existing paragraph 31 (now paragraph 27) </w:t>
      </w:r>
      <w:r w:rsidRPr="00E334B5">
        <w:t>to add ‘openly’. We’ve added this to encourage having open conversations, as well as being honest in response to questions.</w:t>
      </w:r>
    </w:p>
    <w:p w14:paraId="0CD5DBD5" w14:textId="77777777" w:rsidR="006A7F97" w:rsidRPr="00E334B5" w:rsidRDefault="006A7F97" w:rsidP="006A7F97">
      <w:pPr>
        <w:pStyle w:val="ListBullet"/>
      </w:pPr>
      <w:r w:rsidRPr="00E334B5">
        <w:rPr>
          <w:b/>
          <w:bCs/>
        </w:rPr>
        <w:t xml:space="preserve">Strengthened existing paragraph 32 (now paragraph 29) </w:t>
      </w:r>
      <w:r w:rsidRPr="00E334B5">
        <w:t xml:space="preserve">to say medical professionals ‘must’ take all reasonable steps </w:t>
      </w:r>
      <w:r w:rsidRPr="00E334B5">
        <w:rPr>
          <w:lang w:val="en"/>
        </w:rPr>
        <w:t xml:space="preserve">to meet patients’ language and </w:t>
      </w:r>
      <w:r w:rsidRPr="00E334B5">
        <w:t>communication</w:t>
      </w:r>
      <w:r w:rsidRPr="00E334B5">
        <w:rPr>
          <w:lang w:val="en"/>
        </w:rPr>
        <w:t xml:space="preserve"> needs. </w:t>
      </w:r>
      <w:r w:rsidRPr="00E334B5">
        <w:t xml:space="preserve">We propose to raise from a ‘should’ into a ‘must’ duty because communication is so fundamental to safe and effective care. </w:t>
      </w:r>
      <w:r w:rsidRPr="00E334B5">
        <w:rPr>
          <w:lang w:val="en"/>
        </w:rPr>
        <w:t xml:space="preserve">We’ve included the word ‘reasonable’ to </w:t>
      </w:r>
      <w:proofErr w:type="spellStart"/>
      <w:r w:rsidRPr="00E334B5">
        <w:rPr>
          <w:lang w:val="en"/>
        </w:rPr>
        <w:t>recognise</w:t>
      </w:r>
      <w:proofErr w:type="spellEnd"/>
      <w:r w:rsidRPr="00E334B5">
        <w:rPr>
          <w:lang w:val="en"/>
        </w:rPr>
        <w:t xml:space="preserve"> there may be circumstances outside an individual’s control which limit the steps that can be taken.  </w:t>
      </w:r>
    </w:p>
    <w:p w14:paraId="035F3115" w14:textId="77777777" w:rsidR="006A7F97" w:rsidRPr="00E334B5" w:rsidRDefault="5305D027" w:rsidP="006A7F97">
      <w:pPr>
        <w:pStyle w:val="ListBullet"/>
      </w:pPr>
      <w:r w:rsidRPr="5305D027">
        <w:rPr>
          <w:b/>
          <w:bCs/>
        </w:rPr>
        <w:t>Added new subparagraph f to existing paragraph 49 (now paragraph 33)</w:t>
      </w:r>
      <w:r>
        <w:t xml:space="preserve"> to capture the need for transparency about any conflicts of interest that may influence the treatment and care options shared with the patient. Recent inquiries and reviews – such as the </w:t>
      </w:r>
      <w:r w:rsidRPr="5305D027">
        <w:rPr>
          <w:i/>
          <w:iCs/>
        </w:rPr>
        <w:t>Independent Medicines and Medical Devices Review</w:t>
      </w:r>
      <w:r>
        <w:t xml:space="preserve"> – have highlighted the importance of medical professionals being open with patients about personal or professional interests that may influence their practice. </w:t>
      </w:r>
    </w:p>
    <w:p w14:paraId="75EA96AB" w14:textId="77777777" w:rsidR="006A7F97" w:rsidRPr="00E334B5" w:rsidRDefault="73E1FFEE" w:rsidP="006A7F97">
      <w:pPr>
        <w:pStyle w:val="ListBullet"/>
      </w:pPr>
      <w:r w:rsidRPr="73E1FFEE">
        <w:rPr>
          <w:b/>
          <w:bCs/>
        </w:rPr>
        <w:t>Added new subparagraph g to existing paragraph 16 (now paragraph 37)</w:t>
      </w:r>
      <w:r>
        <w:t xml:space="preserve"> to take account of the risks of polypharmacy (that can arise from the use of multiple medicines).</w:t>
      </w:r>
    </w:p>
    <w:p w14:paraId="43A3061F" w14:textId="77777777" w:rsidR="006A7F97" w:rsidRDefault="2CD62766" w:rsidP="006A7F97">
      <w:pPr>
        <w:pStyle w:val="GMCNumbertext"/>
        <w:numPr>
          <w:ilvl w:val="0"/>
          <w:numId w:val="1"/>
        </w:numPr>
        <w:rPr>
          <w:b/>
          <w:bCs/>
        </w:rPr>
      </w:pPr>
      <w:r w:rsidRPr="2CD62766">
        <w:rPr>
          <w:b/>
          <w:bCs/>
        </w:rPr>
        <w:t xml:space="preserve">How far do you agree or disagree with these statements? </w:t>
      </w:r>
    </w:p>
    <w:tbl>
      <w:tblPr>
        <w:tblStyle w:val="TableGrid"/>
        <w:tblW w:w="0" w:type="auto"/>
        <w:tblLook w:val="04A0" w:firstRow="1" w:lastRow="0" w:firstColumn="1" w:lastColumn="0" w:noHBand="0" w:noVBand="1"/>
      </w:tblPr>
      <w:tblGrid>
        <w:gridCol w:w="2988"/>
        <w:gridCol w:w="1236"/>
        <w:gridCol w:w="1276"/>
        <w:gridCol w:w="1492"/>
        <w:gridCol w:w="1492"/>
        <w:gridCol w:w="1145"/>
      </w:tblGrid>
      <w:tr w:rsidR="006A7F97" w:rsidRPr="0011618E" w14:paraId="7FB26940" w14:textId="77777777" w:rsidTr="00B93F1B">
        <w:tc>
          <w:tcPr>
            <w:tcW w:w="2998" w:type="dxa"/>
          </w:tcPr>
          <w:p w14:paraId="602EB198" w14:textId="77777777" w:rsidR="006A7F97" w:rsidRPr="0011618E" w:rsidRDefault="006A7F97" w:rsidP="00B93F1B">
            <w:pPr>
              <w:rPr>
                <w:b/>
                <w:bCs/>
              </w:rPr>
            </w:pPr>
            <w:r w:rsidRPr="0011618E">
              <w:rPr>
                <w:b/>
                <w:bCs/>
              </w:rPr>
              <w:lastRenderedPageBreak/>
              <w:t>Statement</w:t>
            </w:r>
          </w:p>
        </w:tc>
        <w:tc>
          <w:tcPr>
            <w:tcW w:w="1207" w:type="dxa"/>
          </w:tcPr>
          <w:p w14:paraId="7A60085B" w14:textId="40E2A635" w:rsidR="006A7F97" w:rsidRPr="0011618E" w:rsidRDefault="00FD4066" w:rsidP="00B93F1B">
            <w:pPr>
              <w:rPr>
                <w:b/>
                <w:bCs/>
              </w:rPr>
            </w:pPr>
            <w:r>
              <w:rPr>
                <w:b/>
                <w:bCs/>
              </w:rPr>
              <w:t>S</w:t>
            </w:r>
            <w:r w:rsidR="006A7F97" w:rsidRPr="0011618E">
              <w:rPr>
                <w:b/>
                <w:bCs/>
              </w:rPr>
              <w:t>trongly</w:t>
            </w:r>
            <w:r>
              <w:rPr>
                <w:b/>
                <w:bCs/>
              </w:rPr>
              <w:t xml:space="preserve"> agree</w:t>
            </w:r>
          </w:p>
        </w:tc>
        <w:tc>
          <w:tcPr>
            <w:tcW w:w="1282" w:type="dxa"/>
          </w:tcPr>
          <w:p w14:paraId="512D79BA" w14:textId="77777777" w:rsidR="006A7F97" w:rsidRPr="0011618E" w:rsidRDefault="006A7F97" w:rsidP="00B93F1B">
            <w:pPr>
              <w:rPr>
                <w:b/>
                <w:bCs/>
              </w:rPr>
            </w:pPr>
            <w:r w:rsidRPr="0011618E">
              <w:rPr>
                <w:b/>
                <w:bCs/>
              </w:rPr>
              <w:t>Agree</w:t>
            </w:r>
          </w:p>
        </w:tc>
        <w:tc>
          <w:tcPr>
            <w:tcW w:w="1496" w:type="dxa"/>
          </w:tcPr>
          <w:p w14:paraId="58A3B959" w14:textId="77777777" w:rsidR="006A7F97" w:rsidRPr="0011618E" w:rsidRDefault="006A7F97" w:rsidP="00B93F1B">
            <w:pPr>
              <w:rPr>
                <w:b/>
                <w:bCs/>
              </w:rPr>
            </w:pPr>
            <w:r w:rsidRPr="0011618E">
              <w:rPr>
                <w:b/>
                <w:bCs/>
              </w:rPr>
              <w:t xml:space="preserve">Disagree </w:t>
            </w:r>
          </w:p>
        </w:tc>
        <w:tc>
          <w:tcPr>
            <w:tcW w:w="1496" w:type="dxa"/>
          </w:tcPr>
          <w:p w14:paraId="1C0A70F0" w14:textId="210E297D" w:rsidR="006A7F97" w:rsidRPr="0011618E" w:rsidRDefault="00FD4066" w:rsidP="00B93F1B">
            <w:pPr>
              <w:rPr>
                <w:b/>
                <w:bCs/>
              </w:rPr>
            </w:pPr>
            <w:r>
              <w:rPr>
                <w:b/>
                <w:bCs/>
              </w:rPr>
              <w:t>S</w:t>
            </w:r>
            <w:r w:rsidR="006A7F97" w:rsidRPr="0011618E">
              <w:rPr>
                <w:b/>
                <w:bCs/>
              </w:rPr>
              <w:t>trongly</w:t>
            </w:r>
            <w:r>
              <w:rPr>
                <w:b/>
                <w:bCs/>
              </w:rPr>
              <w:t xml:space="preserve"> disagree</w:t>
            </w:r>
          </w:p>
        </w:tc>
        <w:tc>
          <w:tcPr>
            <w:tcW w:w="1150" w:type="dxa"/>
          </w:tcPr>
          <w:p w14:paraId="579B665A" w14:textId="77777777" w:rsidR="006A7F97" w:rsidRPr="0011618E" w:rsidRDefault="006A7F97" w:rsidP="00B93F1B">
            <w:pPr>
              <w:rPr>
                <w:b/>
                <w:bCs/>
              </w:rPr>
            </w:pPr>
            <w:r w:rsidRPr="0011618E">
              <w:rPr>
                <w:b/>
                <w:bCs/>
              </w:rPr>
              <w:t>Don’t know</w:t>
            </w:r>
          </w:p>
        </w:tc>
      </w:tr>
      <w:tr w:rsidR="006A7F97" w:rsidRPr="0011618E" w14:paraId="5DFB5C39" w14:textId="77777777" w:rsidTr="00B93F1B">
        <w:tc>
          <w:tcPr>
            <w:tcW w:w="2998" w:type="dxa"/>
          </w:tcPr>
          <w:p w14:paraId="7A7CC54A" w14:textId="3AA0EB1D" w:rsidR="006A7F97" w:rsidRPr="0011618E" w:rsidRDefault="00FD4066">
            <w:pPr>
              <w:pStyle w:val="GMCA-Ztext"/>
              <w:numPr>
                <w:ilvl w:val="0"/>
                <w:numId w:val="13"/>
              </w:numPr>
            </w:pPr>
            <w:r>
              <w:t xml:space="preserve">The amended duties give the right amount of attention to patients’ rights, needs and expectations. </w:t>
            </w:r>
          </w:p>
        </w:tc>
        <w:tc>
          <w:tcPr>
            <w:tcW w:w="1207" w:type="dxa"/>
          </w:tcPr>
          <w:p w14:paraId="1FA9B0A1" w14:textId="53E38616" w:rsidR="006A7F97" w:rsidRPr="00CE3210" w:rsidRDefault="007605B6" w:rsidP="00B93F1B">
            <w:pPr>
              <w:rPr>
                <w:rFonts w:cs="Tahoma"/>
              </w:rPr>
            </w:pPr>
            <w:r w:rsidRPr="00CE3210">
              <w:rPr>
                <w:rFonts w:ascii="Segoe UI Symbol" w:eastAsia="MS Gothic" w:hAnsi="Segoe UI Symbol" w:cs="Segoe UI Symbol"/>
              </w:rPr>
              <w:t>☐</w:t>
            </w:r>
          </w:p>
        </w:tc>
        <w:tc>
          <w:tcPr>
            <w:tcW w:w="1282" w:type="dxa"/>
          </w:tcPr>
          <w:p w14:paraId="4BE9D6FF" w14:textId="771B1E22" w:rsidR="006A7F97" w:rsidRPr="00CE3210" w:rsidRDefault="00F170E8" w:rsidP="00B93F1B">
            <w:pPr>
              <w:rPr>
                <w:rFonts w:cs="Tahoma"/>
              </w:rPr>
            </w:pPr>
            <w:r>
              <w:rPr>
                <w:rFonts w:ascii="Segoe UI Symbol" w:eastAsia="MS Gothic" w:hAnsi="Segoe UI Symbol" w:cs="Segoe UI Symbol"/>
              </w:rPr>
              <w:t>x</w:t>
            </w:r>
          </w:p>
        </w:tc>
        <w:tc>
          <w:tcPr>
            <w:tcW w:w="1496" w:type="dxa"/>
          </w:tcPr>
          <w:p w14:paraId="64E9CB8D" w14:textId="700F523E" w:rsidR="006A7F97" w:rsidRPr="00CE3210" w:rsidRDefault="007605B6" w:rsidP="00B93F1B">
            <w:pPr>
              <w:rPr>
                <w:rFonts w:cs="Tahoma"/>
              </w:rPr>
            </w:pPr>
            <w:r w:rsidRPr="00CE3210">
              <w:rPr>
                <w:rFonts w:ascii="Segoe UI Symbol" w:eastAsia="MS Gothic" w:hAnsi="Segoe UI Symbol" w:cs="Segoe UI Symbol"/>
              </w:rPr>
              <w:t>☐</w:t>
            </w:r>
          </w:p>
        </w:tc>
        <w:tc>
          <w:tcPr>
            <w:tcW w:w="1496" w:type="dxa"/>
          </w:tcPr>
          <w:p w14:paraId="7832D508" w14:textId="25C3032C" w:rsidR="006A7F97" w:rsidRPr="00CE3210" w:rsidRDefault="007605B6" w:rsidP="00B93F1B">
            <w:pPr>
              <w:rPr>
                <w:rFonts w:cs="Tahoma"/>
              </w:rPr>
            </w:pPr>
            <w:r w:rsidRPr="00CE3210">
              <w:rPr>
                <w:rFonts w:ascii="Segoe UI Symbol" w:eastAsia="MS Gothic" w:hAnsi="Segoe UI Symbol" w:cs="Segoe UI Symbol"/>
              </w:rPr>
              <w:t>☐</w:t>
            </w:r>
          </w:p>
        </w:tc>
        <w:tc>
          <w:tcPr>
            <w:tcW w:w="1150" w:type="dxa"/>
          </w:tcPr>
          <w:p w14:paraId="51239AED" w14:textId="59914521" w:rsidR="006A7F97" w:rsidRPr="00CE3210" w:rsidRDefault="007605B6" w:rsidP="00B93F1B">
            <w:pPr>
              <w:rPr>
                <w:rFonts w:cs="Tahoma"/>
              </w:rPr>
            </w:pPr>
            <w:r w:rsidRPr="00CE3210">
              <w:rPr>
                <w:rFonts w:ascii="Segoe UI Symbol" w:eastAsia="MS Gothic" w:hAnsi="Segoe UI Symbol" w:cs="Segoe UI Symbol"/>
              </w:rPr>
              <w:t>☐</w:t>
            </w:r>
          </w:p>
        </w:tc>
      </w:tr>
      <w:tr w:rsidR="006A7F97" w14:paraId="1B43937C" w14:textId="77777777" w:rsidTr="00B93F1B">
        <w:tc>
          <w:tcPr>
            <w:tcW w:w="2998" w:type="dxa"/>
          </w:tcPr>
          <w:p w14:paraId="0F0DE6A7" w14:textId="77777777" w:rsidR="006A7F97" w:rsidRDefault="006A7F97">
            <w:pPr>
              <w:pStyle w:val="GMCA-Ztext"/>
              <w:numPr>
                <w:ilvl w:val="0"/>
                <w:numId w:val="13"/>
              </w:numPr>
            </w:pPr>
            <w:r w:rsidRPr="0011618E">
              <w:t xml:space="preserve">The amended duties are </w:t>
            </w:r>
            <w:r>
              <w:t>clear</w:t>
            </w:r>
            <w:r w:rsidRPr="0011618E">
              <w:t>.</w:t>
            </w:r>
            <w:r>
              <w:t xml:space="preserve"> </w:t>
            </w:r>
          </w:p>
        </w:tc>
        <w:tc>
          <w:tcPr>
            <w:tcW w:w="1207" w:type="dxa"/>
          </w:tcPr>
          <w:p w14:paraId="23565662" w14:textId="1DD07746" w:rsidR="006A7F97" w:rsidRPr="00CE3210" w:rsidRDefault="007605B6" w:rsidP="00B93F1B">
            <w:pPr>
              <w:rPr>
                <w:rFonts w:cs="Tahoma"/>
              </w:rPr>
            </w:pPr>
            <w:r w:rsidRPr="00CE3210">
              <w:rPr>
                <w:rFonts w:ascii="Segoe UI Symbol" w:eastAsia="MS Gothic" w:hAnsi="Segoe UI Symbol" w:cs="Segoe UI Symbol"/>
              </w:rPr>
              <w:t>☐</w:t>
            </w:r>
          </w:p>
        </w:tc>
        <w:tc>
          <w:tcPr>
            <w:tcW w:w="1282" w:type="dxa"/>
          </w:tcPr>
          <w:p w14:paraId="423CAC8B" w14:textId="44B8FD4A" w:rsidR="006A7F97" w:rsidRPr="00CE3210" w:rsidRDefault="00F170E8" w:rsidP="00B93F1B">
            <w:pPr>
              <w:rPr>
                <w:rFonts w:cs="Tahoma"/>
              </w:rPr>
            </w:pPr>
            <w:r>
              <w:rPr>
                <w:rFonts w:ascii="Segoe UI Symbol" w:eastAsia="MS Gothic" w:hAnsi="Segoe UI Symbol" w:cs="Segoe UI Symbol"/>
              </w:rPr>
              <w:t>x</w:t>
            </w:r>
          </w:p>
        </w:tc>
        <w:tc>
          <w:tcPr>
            <w:tcW w:w="1496" w:type="dxa"/>
          </w:tcPr>
          <w:p w14:paraId="2CB41A27" w14:textId="7024D317" w:rsidR="006A7F97" w:rsidRPr="00CE3210" w:rsidRDefault="007605B6" w:rsidP="00B93F1B">
            <w:pPr>
              <w:rPr>
                <w:rFonts w:cs="Tahoma"/>
              </w:rPr>
            </w:pPr>
            <w:r w:rsidRPr="00CE3210">
              <w:rPr>
                <w:rFonts w:ascii="Segoe UI Symbol" w:eastAsia="MS Gothic" w:hAnsi="Segoe UI Symbol" w:cs="Segoe UI Symbol"/>
              </w:rPr>
              <w:t>☐</w:t>
            </w:r>
          </w:p>
        </w:tc>
        <w:tc>
          <w:tcPr>
            <w:tcW w:w="1496" w:type="dxa"/>
          </w:tcPr>
          <w:p w14:paraId="145C12DA" w14:textId="6432A69D" w:rsidR="006A7F97" w:rsidRPr="00CE3210" w:rsidRDefault="007605B6" w:rsidP="00B93F1B">
            <w:pPr>
              <w:rPr>
                <w:rFonts w:cs="Tahoma"/>
              </w:rPr>
            </w:pPr>
            <w:r w:rsidRPr="00CE3210">
              <w:rPr>
                <w:rFonts w:ascii="Segoe UI Symbol" w:eastAsia="MS Gothic" w:hAnsi="Segoe UI Symbol" w:cs="Segoe UI Symbol"/>
              </w:rPr>
              <w:t>☐</w:t>
            </w:r>
          </w:p>
        </w:tc>
        <w:tc>
          <w:tcPr>
            <w:tcW w:w="1150" w:type="dxa"/>
          </w:tcPr>
          <w:p w14:paraId="2B4BF004" w14:textId="32B868E2" w:rsidR="006A7F97" w:rsidRPr="00CE3210" w:rsidRDefault="007605B6" w:rsidP="00B93F1B">
            <w:pPr>
              <w:rPr>
                <w:rFonts w:cs="Tahoma"/>
              </w:rPr>
            </w:pPr>
            <w:r w:rsidRPr="00CE3210">
              <w:rPr>
                <w:rFonts w:ascii="Segoe UI Symbol" w:eastAsia="MS Gothic" w:hAnsi="Segoe UI Symbol" w:cs="Segoe UI Symbol"/>
              </w:rPr>
              <w:t>☐</w:t>
            </w:r>
          </w:p>
        </w:tc>
      </w:tr>
      <w:tr w:rsidR="006A7F97" w14:paraId="407530C9" w14:textId="77777777" w:rsidTr="00B93F1B">
        <w:tc>
          <w:tcPr>
            <w:tcW w:w="2998" w:type="dxa"/>
          </w:tcPr>
          <w:p w14:paraId="0A7DC136" w14:textId="77777777" w:rsidR="006A7F97" w:rsidRPr="0011618E" w:rsidRDefault="006A7F97">
            <w:pPr>
              <w:pStyle w:val="GMCA-Ztext"/>
              <w:numPr>
                <w:ilvl w:val="0"/>
                <w:numId w:val="13"/>
              </w:numPr>
            </w:pPr>
            <w:r w:rsidRPr="0011618E">
              <w:t xml:space="preserve">The amended duties are </w:t>
            </w:r>
            <w:r>
              <w:t>realistic</w:t>
            </w:r>
            <w:r w:rsidRPr="0011618E">
              <w:t xml:space="preserve">. </w:t>
            </w:r>
          </w:p>
        </w:tc>
        <w:tc>
          <w:tcPr>
            <w:tcW w:w="1207" w:type="dxa"/>
          </w:tcPr>
          <w:p w14:paraId="1569DAD5" w14:textId="2C9FB267" w:rsidR="006A7F97" w:rsidRPr="00CE3210" w:rsidRDefault="007605B6" w:rsidP="00B93F1B">
            <w:pPr>
              <w:rPr>
                <w:rFonts w:cs="Tahoma"/>
              </w:rPr>
            </w:pPr>
            <w:r w:rsidRPr="00CE3210">
              <w:rPr>
                <w:rFonts w:ascii="Segoe UI Symbol" w:eastAsia="MS Gothic" w:hAnsi="Segoe UI Symbol" w:cs="Segoe UI Symbol"/>
              </w:rPr>
              <w:t>☐</w:t>
            </w:r>
          </w:p>
        </w:tc>
        <w:tc>
          <w:tcPr>
            <w:tcW w:w="1282" w:type="dxa"/>
          </w:tcPr>
          <w:p w14:paraId="18FCE949" w14:textId="18982F97" w:rsidR="006A7F97" w:rsidRPr="00CE3210" w:rsidRDefault="00F170E8" w:rsidP="00B93F1B">
            <w:pPr>
              <w:rPr>
                <w:rFonts w:cs="Tahoma"/>
              </w:rPr>
            </w:pPr>
            <w:r>
              <w:rPr>
                <w:rFonts w:ascii="Segoe UI Symbol" w:eastAsia="MS Gothic" w:hAnsi="Segoe UI Symbol" w:cs="Segoe UI Symbol"/>
              </w:rPr>
              <w:t>x</w:t>
            </w:r>
          </w:p>
        </w:tc>
        <w:tc>
          <w:tcPr>
            <w:tcW w:w="1496" w:type="dxa"/>
          </w:tcPr>
          <w:p w14:paraId="398E4912" w14:textId="358087C4" w:rsidR="006A7F97" w:rsidRPr="00CE3210" w:rsidRDefault="007605B6" w:rsidP="00B93F1B">
            <w:pPr>
              <w:rPr>
                <w:rFonts w:cs="Tahoma"/>
              </w:rPr>
            </w:pPr>
            <w:r w:rsidRPr="00CE3210">
              <w:rPr>
                <w:rFonts w:ascii="Segoe UI Symbol" w:eastAsia="MS Gothic" w:hAnsi="Segoe UI Symbol" w:cs="Segoe UI Symbol"/>
              </w:rPr>
              <w:t>☐</w:t>
            </w:r>
          </w:p>
        </w:tc>
        <w:tc>
          <w:tcPr>
            <w:tcW w:w="1496" w:type="dxa"/>
          </w:tcPr>
          <w:p w14:paraId="2296102E" w14:textId="7489FF89" w:rsidR="006A7F97" w:rsidRPr="00CE3210" w:rsidRDefault="007605B6" w:rsidP="00B93F1B">
            <w:pPr>
              <w:rPr>
                <w:rFonts w:cs="Tahoma"/>
              </w:rPr>
            </w:pPr>
            <w:r w:rsidRPr="00CE3210">
              <w:rPr>
                <w:rFonts w:ascii="Segoe UI Symbol" w:eastAsia="MS Gothic" w:hAnsi="Segoe UI Symbol" w:cs="Segoe UI Symbol"/>
              </w:rPr>
              <w:t>☐</w:t>
            </w:r>
          </w:p>
        </w:tc>
        <w:tc>
          <w:tcPr>
            <w:tcW w:w="1150" w:type="dxa"/>
          </w:tcPr>
          <w:p w14:paraId="71F789FA" w14:textId="6F33BD13" w:rsidR="006A7F97" w:rsidRPr="00CE3210" w:rsidRDefault="007605B6" w:rsidP="00B93F1B">
            <w:pPr>
              <w:rPr>
                <w:rFonts w:cs="Tahoma"/>
              </w:rPr>
            </w:pPr>
            <w:r w:rsidRPr="00CE3210">
              <w:rPr>
                <w:rFonts w:ascii="Segoe UI Symbol" w:eastAsia="MS Gothic" w:hAnsi="Segoe UI Symbol" w:cs="Segoe UI Symbol"/>
              </w:rPr>
              <w:t>☐</w:t>
            </w:r>
          </w:p>
        </w:tc>
      </w:tr>
      <w:bookmarkEnd w:id="14"/>
    </w:tbl>
    <w:p w14:paraId="6ADD5753" w14:textId="77777777" w:rsidR="006A7F97" w:rsidRDefault="006A7F97" w:rsidP="006A7F97"/>
    <w:p w14:paraId="486BEFDB" w14:textId="77777777" w:rsidR="006A7F97" w:rsidRPr="00A3786B" w:rsidRDefault="2CD62766" w:rsidP="006A7F97">
      <w:pPr>
        <w:pStyle w:val="GMCNumbertext"/>
        <w:numPr>
          <w:ilvl w:val="0"/>
          <w:numId w:val="1"/>
        </w:numPr>
      </w:pPr>
      <w:r>
        <w:t>Any other comments (please say which duties you’re telling us about)</w:t>
      </w:r>
    </w:p>
    <w:tbl>
      <w:tblPr>
        <w:tblStyle w:val="TableGrid"/>
        <w:tblW w:w="0" w:type="auto"/>
        <w:tblLook w:val="04A0" w:firstRow="1" w:lastRow="0" w:firstColumn="1" w:lastColumn="0" w:noHBand="0" w:noVBand="1"/>
      </w:tblPr>
      <w:tblGrid>
        <w:gridCol w:w="9629"/>
      </w:tblGrid>
      <w:tr w:rsidR="006A7F97" w14:paraId="5496F8D4" w14:textId="77777777" w:rsidTr="5305D027">
        <w:tc>
          <w:tcPr>
            <w:tcW w:w="9629" w:type="dxa"/>
          </w:tcPr>
          <w:p w14:paraId="35ED69D3" w14:textId="77777777" w:rsidR="00056D9E" w:rsidRDefault="00056D9E" w:rsidP="00056D9E">
            <w:pPr>
              <w:pStyle w:val="GMCNumbertext"/>
              <w:numPr>
                <w:ilvl w:val="0"/>
                <w:numId w:val="0"/>
              </w:numPr>
            </w:pPr>
            <w:r w:rsidRPr="000A57AE">
              <w:rPr>
                <w:u w:val="single"/>
              </w:rPr>
              <w:t>Treating patients with kindness, courtesy and respect</w:t>
            </w:r>
            <w:r>
              <w:rPr>
                <w:u w:val="single"/>
              </w:rPr>
              <w:t>.</w:t>
            </w:r>
            <w:r w:rsidRPr="00F170E8">
              <w:t xml:space="preserve"> </w:t>
            </w:r>
            <w:r>
              <w:t>Alternative wording, avoiding the different ways in which “kindness” may be interpreted, could be “treating patients with consideration, courtesy and respecting their dignity and privacy.” (This borrows wording from both paragraphs 21 and 22.) Paragraph 21 could then be expanded to extending these same principles beyond individual patients to “groups of patients”.</w:t>
            </w:r>
          </w:p>
          <w:p w14:paraId="05BA3BDB" w14:textId="49269E8B" w:rsidR="006A7F97" w:rsidRPr="00056D9E" w:rsidRDefault="00056D9E" w:rsidP="00056D9E">
            <w:pPr>
              <w:pStyle w:val="GMCNumbertext"/>
              <w:numPr>
                <w:ilvl w:val="0"/>
                <w:numId w:val="0"/>
              </w:numPr>
            </w:pPr>
            <w:r w:rsidRPr="00056D9E">
              <w:rPr>
                <w:u w:val="single"/>
              </w:rPr>
              <w:t>Providing good clinical care.</w:t>
            </w:r>
            <w:r w:rsidRPr="00056D9E">
              <w:t xml:space="preserve"> We are pleased to note that paragraph 37 addresses some of the issues around prescribing drugs or other treatments and includes the need to be alert to the possibility of interactions with other treatments  and the overall burden of treatments and balancing benefits with possible harms. Paragraph 37b might be expanded to include “...based on the best available evidence and your knowledge of the relevant pharmacology.</w:t>
            </w:r>
            <w:r w:rsidR="007A3660">
              <w:t>”</w:t>
            </w:r>
            <w:r w:rsidRPr="00056D9E">
              <w:t xml:space="preserve">  Paragraph 37 (d) could be expanded to “seek advice from a supervising clinician, colleagues or other healthcare professionals such as pharmacists”.</w:t>
            </w:r>
          </w:p>
        </w:tc>
      </w:tr>
    </w:tbl>
    <w:p w14:paraId="1970B783" w14:textId="2692C9D3" w:rsidR="00F069DE" w:rsidRDefault="00F069DE" w:rsidP="008B0C91">
      <w:pPr>
        <w:rPr>
          <w:bCs/>
          <w:iCs/>
          <w:color w:val="00377B"/>
          <w:kern w:val="32"/>
          <w:sz w:val="32"/>
          <w:szCs w:val="28"/>
        </w:rPr>
      </w:pPr>
    </w:p>
    <w:p w14:paraId="68556822" w14:textId="2F88E14E" w:rsidR="006A7F97" w:rsidRDefault="006A7F97">
      <w:pPr>
        <w:spacing w:after="0" w:line="240" w:lineRule="auto"/>
        <w:rPr>
          <w:bCs/>
          <w:iCs/>
          <w:color w:val="00377B"/>
          <w:kern w:val="32"/>
          <w:sz w:val="32"/>
          <w:szCs w:val="28"/>
        </w:rPr>
      </w:pPr>
      <w:r>
        <w:rPr>
          <w:bCs/>
          <w:iCs/>
          <w:color w:val="00377B"/>
          <w:kern w:val="32"/>
          <w:sz w:val="32"/>
          <w:szCs w:val="28"/>
        </w:rPr>
        <w:br w:type="page"/>
      </w:r>
    </w:p>
    <w:p w14:paraId="54C7D546" w14:textId="77777777" w:rsidR="006A7F97" w:rsidRPr="008F0365" w:rsidRDefault="006A7F97" w:rsidP="006A7F97">
      <w:pPr>
        <w:pStyle w:val="Heading2"/>
      </w:pPr>
      <w:r>
        <w:lastRenderedPageBreak/>
        <w:t>Theme three: Working effectively with colleagues</w:t>
      </w:r>
    </w:p>
    <w:p w14:paraId="114DB068" w14:textId="77777777" w:rsidR="006A7F97" w:rsidDel="00610EC3" w:rsidRDefault="006A7F97" w:rsidP="006A7F97">
      <w:r>
        <w:t xml:space="preserve">A </w:t>
      </w:r>
      <w:r w:rsidDel="00610EC3">
        <w:t xml:space="preserve">key theme emerging from our </w:t>
      </w:r>
      <w:r>
        <w:t xml:space="preserve">research </w:t>
      </w:r>
      <w:r w:rsidDel="00610EC3">
        <w:t xml:space="preserve">and engagement was that </w:t>
      </w:r>
      <w:r>
        <w:t>a</w:t>
      </w:r>
      <w:r w:rsidRPr="002A50A3" w:rsidDel="00610EC3">
        <w:t xml:space="preserve"> good </w:t>
      </w:r>
      <w:r>
        <w:t xml:space="preserve">workplace </w:t>
      </w:r>
      <w:r w:rsidRPr="002A50A3" w:rsidDel="00610EC3">
        <w:t>culture is the foundation for good healthcare</w:t>
      </w:r>
      <w:r>
        <w:t xml:space="preserve">. That </w:t>
      </w:r>
      <w:r w:rsidRPr="002A50A3" w:rsidDel="00610EC3">
        <w:t xml:space="preserve">starts with how </w:t>
      </w:r>
      <w:r w:rsidDel="00610EC3">
        <w:t>medical professionals</w:t>
      </w:r>
      <w:r w:rsidRPr="002A50A3" w:rsidDel="00610EC3">
        <w:t xml:space="preserve"> treat each other, and how teams work together in the interests of patients</w:t>
      </w:r>
      <w:r w:rsidDel="00610EC3">
        <w:t>.</w:t>
      </w:r>
    </w:p>
    <w:p w14:paraId="667EBD87" w14:textId="637F6A19" w:rsidR="006A7F97" w:rsidRPr="00E334B5" w:rsidRDefault="006A7F97" w:rsidP="006A7F97">
      <w:r>
        <w:t xml:space="preserve">We’ve strengthened duties under this theme to highlight the importance of medical professionals working effectively with colleagues – within and between teams – in the interests of patients. </w:t>
      </w:r>
      <w:r w:rsidRPr="00E334B5">
        <w:t>These are the main changes we’ve made:</w:t>
      </w:r>
    </w:p>
    <w:p w14:paraId="2739D7A9" w14:textId="79BD266E" w:rsidR="006A7F97" w:rsidRPr="00E334B5" w:rsidRDefault="006A7F97">
      <w:pPr>
        <w:pStyle w:val="ListBullet"/>
        <w:numPr>
          <w:ilvl w:val="0"/>
          <w:numId w:val="3"/>
        </w:numPr>
        <w:rPr>
          <w:b/>
          <w:bCs/>
          <w:lang w:val="en"/>
        </w:rPr>
      </w:pPr>
      <w:r w:rsidRPr="00E334B5">
        <w:rPr>
          <w:b/>
          <w:bCs/>
        </w:rPr>
        <w:t xml:space="preserve">New duty at paragraph 2 (incorporating current paragraph 35) </w:t>
      </w:r>
      <w:r w:rsidRPr="00E334B5">
        <w:rPr>
          <w:lang w:val="en"/>
        </w:rPr>
        <w:t xml:space="preserve">to develop and maintain effective teamworking and interpersonal relationships. This includes </w:t>
      </w:r>
      <w:proofErr w:type="spellStart"/>
      <w:r w:rsidRPr="00E334B5">
        <w:rPr>
          <w:lang w:val="en"/>
        </w:rPr>
        <w:t>recognising</w:t>
      </w:r>
      <w:proofErr w:type="spellEnd"/>
      <w:r w:rsidRPr="00E334B5">
        <w:rPr>
          <w:lang w:val="en"/>
        </w:rPr>
        <w:t xml:space="preserve"> and showing respect for the roles and skills of </w:t>
      </w:r>
      <w:r w:rsidR="00F42779">
        <w:rPr>
          <w:lang w:val="en"/>
        </w:rPr>
        <w:t>the people you work with</w:t>
      </w:r>
      <w:r w:rsidRPr="00E334B5">
        <w:rPr>
          <w:lang w:val="en"/>
        </w:rPr>
        <w:t xml:space="preserve"> and listening to their contributions. </w:t>
      </w:r>
    </w:p>
    <w:p w14:paraId="71132C48" w14:textId="77777777" w:rsidR="006A7F97" w:rsidRPr="00E334B5" w:rsidDel="00610EC3" w:rsidRDefault="006A7F97">
      <w:pPr>
        <w:pStyle w:val="ListBullet"/>
        <w:numPr>
          <w:ilvl w:val="0"/>
          <w:numId w:val="3"/>
        </w:numPr>
      </w:pPr>
      <w:r w:rsidRPr="00E334B5" w:rsidDel="00610EC3">
        <w:rPr>
          <w:b/>
          <w:bCs/>
        </w:rPr>
        <w:t xml:space="preserve">New duty at paragraph </w:t>
      </w:r>
      <w:r w:rsidRPr="00E334B5">
        <w:rPr>
          <w:b/>
          <w:bCs/>
        </w:rPr>
        <w:t>3</w:t>
      </w:r>
      <w:r w:rsidRPr="00E334B5" w:rsidDel="00610EC3">
        <w:rPr>
          <w:b/>
          <w:bCs/>
        </w:rPr>
        <w:t xml:space="preserve"> </w:t>
      </w:r>
      <w:r w:rsidRPr="00E334B5" w:rsidDel="00610EC3">
        <w:rPr>
          <w:lang w:val="en"/>
        </w:rPr>
        <w:t xml:space="preserve">for medical professionals to communicate clearly, effectively and courteously with each other. The 2013 edition of GMP has a duty about effective communication with </w:t>
      </w:r>
      <w:r w:rsidRPr="00E334B5" w:rsidDel="00610EC3">
        <w:rPr>
          <w:i/>
          <w:iCs/>
          <w:lang w:val="en"/>
        </w:rPr>
        <w:t>patients</w:t>
      </w:r>
      <w:r w:rsidRPr="00E334B5" w:rsidDel="00610EC3">
        <w:rPr>
          <w:lang w:val="en"/>
        </w:rPr>
        <w:t xml:space="preserve">, but we’ve extended this to demonstrate that clear and courteous communication in the workplace lies at the heart of good teamwork and builds the positive culture that is </w:t>
      </w:r>
      <w:r w:rsidRPr="00E334B5">
        <w:rPr>
          <w:lang w:val="en"/>
        </w:rPr>
        <w:t>c</w:t>
      </w:r>
      <w:r w:rsidRPr="00E334B5" w:rsidDel="00610EC3">
        <w:rPr>
          <w:lang w:val="en"/>
        </w:rPr>
        <w:t xml:space="preserve">rucial to patient safety. </w:t>
      </w:r>
      <w:r w:rsidRPr="00E334B5" w:rsidDel="00610EC3">
        <w:t xml:space="preserve"> </w:t>
      </w:r>
    </w:p>
    <w:p w14:paraId="0796C7B6" w14:textId="77777777" w:rsidR="006A7F97" w:rsidRPr="00E334B5" w:rsidDel="00610EC3" w:rsidRDefault="006A7F97">
      <w:pPr>
        <w:pStyle w:val="ListBullet"/>
        <w:numPr>
          <w:ilvl w:val="0"/>
          <w:numId w:val="3"/>
        </w:numPr>
      </w:pPr>
      <w:r w:rsidRPr="00E334B5" w:rsidDel="00610EC3">
        <w:rPr>
          <w:b/>
          <w:bCs/>
        </w:rPr>
        <w:t xml:space="preserve">New duty at paragraph </w:t>
      </w:r>
      <w:r w:rsidRPr="00E334B5">
        <w:rPr>
          <w:b/>
          <w:bCs/>
        </w:rPr>
        <w:t>5</w:t>
      </w:r>
      <w:r w:rsidRPr="00E334B5" w:rsidDel="00610EC3">
        <w:rPr>
          <w:b/>
          <w:bCs/>
        </w:rPr>
        <w:t xml:space="preserve"> (expanding on current paragraph 37)</w:t>
      </w:r>
      <w:r w:rsidRPr="00E334B5" w:rsidDel="00610EC3">
        <w:t xml:space="preserve"> for medical professionals to role model supportive, inclusive and compassionate behaviour. We’ve also extended the duty to include attitudes, as well as behaviours, and to consider how behaviours affect</w:t>
      </w:r>
      <w:r w:rsidRPr="00E334B5">
        <w:t xml:space="preserve"> the people who experience them</w:t>
      </w:r>
      <w:r w:rsidRPr="00E334B5" w:rsidDel="00610EC3">
        <w:t xml:space="preserve"> as well as influence others. </w:t>
      </w:r>
    </w:p>
    <w:p w14:paraId="3E7846D7" w14:textId="77777777" w:rsidR="006A7F97" w:rsidRPr="00E334B5" w:rsidRDefault="006A7F97">
      <w:pPr>
        <w:pStyle w:val="ListBullet"/>
        <w:numPr>
          <w:ilvl w:val="0"/>
          <w:numId w:val="3"/>
        </w:numPr>
        <w:rPr>
          <w:lang w:val="en"/>
        </w:rPr>
      </w:pPr>
      <w:r w:rsidRPr="00E334B5">
        <w:rPr>
          <w:b/>
          <w:bCs/>
        </w:rPr>
        <w:t>Amended existing paragraph 44 (now paragraph 8)</w:t>
      </w:r>
      <w:r w:rsidRPr="00E334B5">
        <w:t xml:space="preserve"> to change from ‘you must contribute to safe transfer of patients’ to ‘you must contribute to continuity and coordination of patient care’, drawing in text from </w:t>
      </w:r>
      <w:r w:rsidRPr="00E334B5">
        <w:rPr>
          <w:lang w:val="en"/>
        </w:rPr>
        <w:t>paragraph 11</w:t>
      </w:r>
      <w:r w:rsidRPr="00E334B5">
        <w:t xml:space="preserve"> of our </w:t>
      </w:r>
      <w:hyperlink r:id="rId14" w:history="1">
        <w:r w:rsidRPr="00E334B5">
          <w:rPr>
            <w:rStyle w:val="Hyperlink"/>
            <w:i/>
            <w:iCs/>
            <w:color w:val="auto"/>
            <w:u w:val="none"/>
          </w:rPr>
          <w:t>Leadership and Management</w:t>
        </w:r>
      </w:hyperlink>
      <w:r w:rsidRPr="00E334B5">
        <w:rPr>
          <w:rStyle w:val="Hyperlink"/>
          <w:i/>
          <w:iCs/>
          <w:color w:val="auto"/>
          <w:u w:val="none"/>
        </w:rPr>
        <w:t xml:space="preserve"> </w:t>
      </w:r>
      <w:r w:rsidRPr="00E334B5">
        <w:rPr>
          <w:rStyle w:val="Hyperlink"/>
          <w:color w:val="auto"/>
          <w:u w:val="none"/>
        </w:rPr>
        <w:t>guidance</w:t>
      </w:r>
      <w:r w:rsidRPr="00E334B5">
        <w:t xml:space="preserve">. This is in </w:t>
      </w:r>
      <w:r w:rsidRPr="00E334B5">
        <w:rPr>
          <w:color w:val="auto"/>
        </w:rPr>
        <w:t xml:space="preserve">response to </w:t>
      </w:r>
      <w:r w:rsidRPr="00E334B5">
        <w:rPr>
          <w:lang w:val="en"/>
        </w:rPr>
        <w:t>feedback about the importance of good communication between teams, particularly when supporting patients with complex care needs.</w:t>
      </w:r>
    </w:p>
    <w:p w14:paraId="27428903" w14:textId="77777777" w:rsidR="006A7F97" w:rsidRPr="00E334B5" w:rsidRDefault="006A7F97">
      <w:pPr>
        <w:pStyle w:val="ListBullet"/>
        <w:numPr>
          <w:ilvl w:val="0"/>
          <w:numId w:val="3"/>
        </w:numPr>
      </w:pPr>
      <w:r w:rsidRPr="00E334B5">
        <w:rPr>
          <w:b/>
          <w:bCs/>
        </w:rPr>
        <w:t xml:space="preserve">New duties at paragraphs 9 and 10 </w:t>
      </w:r>
      <w:r w:rsidRPr="00E334B5">
        <w:t xml:space="preserve">not to assume that someone else will pass on the information needed for patient care and to act if problems arise from poor communication or unclear responsibilities within or between teams. These duties have been drawn in from paragraphs 12 and 13 of our </w:t>
      </w:r>
      <w:r w:rsidRPr="00E334B5">
        <w:rPr>
          <w:i/>
          <w:iCs/>
        </w:rPr>
        <w:t>Leadership and management</w:t>
      </w:r>
      <w:r w:rsidRPr="00E334B5">
        <w:t xml:space="preserve"> guidance. We now use ‘must’ and not ‘should’ for these duties.</w:t>
      </w:r>
    </w:p>
    <w:p w14:paraId="3E8F08F0" w14:textId="77777777" w:rsidR="006A7F97" w:rsidRDefault="006A7F97">
      <w:pPr>
        <w:pStyle w:val="ListBullet"/>
        <w:numPr>
          <w:ilvl w:val="0"/>
          <w:numId w:val="3"/>
        </w:numPr>
      </w:pPr>
      <w:r w:rsidRPr="00E334B5">
        <w:rPr>
          <w:b/>
          <w:bCs/>
        </w:rPr>
        <w:t xml:space="preserve">Amended existing paragraph 45 (now paragraph 11) </w:t>
      </w:r>
      <w:r w:rsidRPr="00E334B5">
        <w:t>to include delegated tasks, and to highlight the need for appropriate supervision or support. We haven’t added new duties for individuals with tasks delegated to them, as we think this is already covered in the guidance on</w:t>
      </w:r>
      <w:r>
        <w:t xml:space="preserve"> working within competence, effective </w:t>
      </w:r>
      <w:r>
        <w:lastRenderedPageBreak/>
        <w:t>teamwork, and continuity of care.</w:t>
      </w:r>
      <w:r w:rsidRPr="008E51D5">
        <w:rPr>
          <w:b/>
          <w:bCs/>
        </w:rPr>
        <w:t xml:space="preserve"> </w:t>
      </w:r>
      <w:hyperlink r:id="rId15" w:history="1">
        <w:r w:rsidRPr="00DC49FC">
          <w:rPr>
            <w:rStyle w:val="Hyperlink"/>
          </w:rPr>
          <w:t>We’ve also given specific advice on supervision for PAs and AAs on our ethical hub</w:t>
        </w:r>
      </w:hyperlink>
      <w:r>
        <w:t>.</w:t>
      </w:r>
      <w:r>
        <w:rPr>
          <w:rStyle w:val="FootnoteReference"/>
        </w:rPr>
        <w:footnoteReference w:id="7"/>
      </w:r>
    </w:p>
    <w:p w14:paraId="1056B8A8" w14:textId="77777777" w:rsidR="006A7F97" w:rsidRPr="008E51D5" w:rsidRDefault="006A7F97">
      <w:pPr>
        <w:pStyle w:val="ListBullet"/>
        <w:numPr>
          <w:ilvl w:val="0"/>
          <w:numId w:val="3"/>
        </w:numPr>
        <w:rPr>
          <w:lang w:val="en"/>
        </w:rPr>
      </w:pPr>
      <w:r w:rsidRPr="00E334B5">
        <w:rPr>
          <w:b/>
          <w:bCs/>
        </w:rPr>
        <w:t>New subparagraph a at existing paragraph 22 (now paragraph 15) and new duty at paragraph 16</w:t>
      </w:r>
      <w:r w:rsidRPr="00E334B5">
        <w:t xml:space="preserve"> to</w:t>
      </w:r>
      <w:r w:rsidRPr="00E334B5">
        <w:rPr>
          <w:b/>
          <w:bCs/>
        </w:rPr>
        <w:t xml:space="preserve"> </w:t>
      </w:r>
      <w:r w:rsidRPr="00E334B5">
        <w:rPr>
          <w:lang w:val="en"/>
        </w:rPr>
        <w:t>highlight the importance of medical professionals working together to improve safety and quality through the routine use of quality improvement, risk management and governance</w:t>
      </w:r>
      <w:r w:rsidRPr="008E51D5">
        <w:rPr>
          <w:lang w:val="en"/>
        </w:rPr>
        <w:t xml:space="preserve"> processes. The new text has been drawn in from paragraphs 2b and 26 of our </w:t>
      </w:r>
      <w:r w:rsidRPr="008E51D5">
        <w:rPr>
          <w:i/>
          <w:iCs/>
          <w:lang w:val="en"/>
        </w:rPr>
        <w:t>Leadership and management</w:t>
      </w:r>
      <w:r w:rsidRPr="008E51D5">
        <w:rPr>
          <w:lang w:val="en"/>
        </w:rPr>
        <w:t xml:space="preserve"> guidance.</w:t>
      </w:r>
    </w:p>
    <w:p w14:paraId="69F6B3DC" w14:textId="77777777" w:rsidR="006A7F97" w:rsidRDefault="2CD62766" w:rsidP="006A7F97">
      <w:pPr>
        <w:pStyle w:val="GMCNumbertext"/>
        <w:numPr>
          <w:ilvl w:val="0"/>
          <w:numId w:val="1"/>
        </w:numPr>
        <w:rPr>
          <w:b/>
          <w:bCs/>
        </w:rPr>
      </w:pPr>
      <w:r w:rsidRPr="2CD62766">
        <w:rPr>
          <w:b/>
          <w:bCs/>
        </w:rPr>
        <w:t xml:space="preserve">How far do you agree or disagree with these statements? </w:t>
      </w:r>
    </w:p>
    <w:tbl>
      <w:tblPr>
        <w:tblStyle w:val="TableGrid"/>
        <w:tblW w:w="0" w:type="auto"/>
        <w:tblLook w:val="04A0" w:firstRow="1" w:lastRow="0" w:firstColumn="1" w:lastColumn="0" w:noHBand="0" w:noVBand="1"/>
      </w:tblPr>
      <w:tblGrid>
        <w:gridCol w:w="3240"/>
        <w:gridCol w:w="1236"/>
        <w:gridCol w:w="1194"/>
        <w:gridCol w:w="1442"/>
        <w:gridCol w:w="1434"/>
        <w:gridCol w:w="1083"/>
      </w:tblGrid>
      <w:tr w:rsidR="006A7F97" w:rsidRPr="0011618E" w14:paraId="13518CD7" w14:textId="77777777" w:rsidTr="00B93F1B">
        <w:tc>
          <w:tcPr>
            <w:tcW w:w="3539" w:type="dxa"/>
          </w:tcPr>
          <w:p w14:paraId="385EECEB" w14:textId="77777777" w:rsidR="006A7F97" w:rsidRPr="0011618E" w:rsidRDefault="006A7F97" w:rsidP="00B93F1B">
            <w:pPr>
              <w:rPr>
                <w:b/>
                <w:bCs/>
              </w:rPr>
            </w:pPr>
            <w:r w:rsidRPr="0011618E">
              <w:rPr>
                <w:b/>
                <w:bCs/>
              </w:rPr>
              <w:t>Statement</w:t>
            </w:r>
          </w:p>
        </w:tc>
        <w:tc>
          <w:tcPr>
            <w:tcW w:w="644" w:type="dxa"/>
          </w:tcPr>
          <w:p w14:paraId="2CB3BFB9" w14:textId="4F80EC5F" w:rsidR="006A7F97" w:rsidRPr="0011618E" w:rsidRDefault="00FD4066" w:rsidP="00B93F1B">
            <w:pPr>
              <w:rPr>
                <w:b/>
                <w:bCs/>
              </w:rPr>
            </w:pPr>
            <w:r>
              <w:rPr>
                <w:b/>
                <w:bCs/>
              </w:rPr>
              <w:t>S</w:t>
            </w:r>
            <w:r w:rsidR="006A7F97" w:rsidRPr="0011618E">
              <w:rPr>
                <w:b/>
                <w:bCs/>
              </w:rPr>
              <w:t>trongly</w:t>
            </w:r>
            <w:r>
              <w:rPr>
                <w:b/>
                <w:bCs/>
              </w:rPr>
              <w:t xml:space="preserve"> agree</w:t>
            </w:r>
          </w:p>
        </w:tc>
        <w:tc>
          <w:tcPr>
            <w:tcW w:w="1290" w:type="dxa"/>
          </w:tcPr>
          <w:p w14:paraId="06CEF992" w14:textId="77777777" w:rsidR="006A7F97" w:rsidRPr="0011618E" w:rsidRDefault="006A7F97" w:rsidP="00B93F1B">
            <w:pPr>
              <w:rPr>
                <w:b/>
                <w:bCs/>
              </w:rPr>
            </w:pPr>
            <w:r w:rsidRPr="0011618E">
              <w:rPr>
                <w:b/>
                <w:bCs/>
              </w:rPr>
              <w:t>Agree</w:t>
            </w:r>
          </w:p>
        </w:tc>
        <w:tc>
          <w:tcPr>
            <w:tcW w:w="1500" w:type="dxa"/>
          </w:tcPr>
          <w:p w14:paraId="4D4915F4" w14:textId="77777777" w:rsidR="006A7F97" w:rsidRPr="0011618E" w:rsidRDefault="006A7F97" w:rsidP="00B93F1B">
            <w:pPr>
              <w:rPr>
                <w:b/>
                <w:bCs/>
              </w:rPr>
            </w:pPr>
            <w:r w:rsidRPr="0011618E">
              <w:rPr>
                <w:b/>
                <w:bCs/>
              </w:rPr>
              <w:t xml:space="preserve">Disagree </w:t>
            </w:r>
          </w:p>
        </w:tc>
        <w:tc>
          <w:tcPr>
            <w:tcW w:w="1500" w:type="dxa"/>
          </w:tcPr>
          <w:p w14:paraId="07DC0929" w14:textId="40FB5C86" w:rsidR="006A7F97" w:rsidRPr="0011618E" w:rsidRDefault="00FD4066" w:rsidP="00B93F1B">
            <w:pPr>
              <w:rPr>
                <w:b/>
                <w:bCs/>
              </w:rPr>
            </w:pPr>
            <w:r>
              <w:rPr>
                <w:b/>
                <w:bCs/>
              </w:rPr>
              <w:t>S</w:t>
            </w:r>
            <w:r w:rsidR="006A7F97" w:rsidRPr="0011618E">
              <w:rPr>
                <w:b/>
                <w:bCs/>
              </w:rPr>
              <w:t>trongly</w:t>
            </w:r>
            <w:r>
              <w:rPr>
                <w:b/>
                <w:bCs/>
              </w:rPr>
              <w:t xml:space="preserve"> disagree</w:t>
            </w:r>
          </w:p>
        </w:tc>
        <w:tc>
          <w:tcPr>
            <w:tcW w:w="1156" w:type="dxa"/>
          </w:tcPr>
          <w:p w14:paraId="1F58235E" w14:textId="77777777" w:rsidR="006A7F97" w:rsidRPr="0011618E" w:rsidRDefault="006A7F97" w:rsidP="00B93F1B">
            <w:pPr>
              <w:rPr>
                <w:b/>
                <w:bCs/>
              </w:rPr>
            </w:pPr>
            <w:r w:rsidRPr="0011618E">
              <w:rPr>
                <w:b/>
                <w:bCs/>
              </w:rPr>
              <w:t>Don’t know</w:t>
            </w:r>
          </w:p>
        </w:tc>
      </w:tr>
      <w:tr w:rsidR="006A7F97" w:rsidRPr="0011618E" w14:paraId="56505169" w14:textId="77777777" w:rsidTr="00B93F1B">
        <w:tc>
          <w:tcPr>
            <w:tcW w:w="3539" w:type="dxa"/>
          </w:tcPr>
          <w:p w14:paraId="3A94D6B8" w14:textId="66D2E74D" w:rsidR="006A7F97" w:rsidRPr="0011618E" w:rsidRDefault="006A7F97">
            <w:pPr>
              <w:pStyle w:val="GMCA-Ztext"/>
              <w:numPr>
                <w:ilvl w:val="0"/>
                <w:numId w:val="16"/>
              </w:numPr>
            </w:pPr>
            <w:r w:rsidRPr="0011618E">
              <w:t xml:space="preserve">The amended duties </w:t>
            </w:r>
            <w:r w:rsidR="00874D5B">
              <w:t xml:space="preserve">set the right expectations about working </w:t>
            </w:r>
            <w:r w:rsidRPr="0011618E">
              <w:t xml:space="preserve">effectively with colleagues. </w:t>
            </w:r>
          </w:p>
        </w:tc>
        <w:tc>
          <w:tcPr>
            <w:tcW w:w="644" w:type="dxa"/>
          </w:tcPr>
          <w:p w14:paraId="7AFE16AC" w14:textId="5BC13F2A" w:rsidR="006A7F97" w:rsidRPr="00CE3210" w:rsidRDefault="007605B6" w:rsidP="00B93F1B">
            <w:pPr>
              <w:rPr>
                <w:rFonts w:cs="Tahoma"/>
              </w:rPr>
            </w:pPr>
            <w:r w:rsidRPr="00CE3210">
              <w:rPr>
                <w:rFonts w:ascii="Segoe UI Symbol" w:eastAsia="MS Gothic" w:hAnsi="Segoe UI Symbol" w:cs="Segoe UI Symbol"/>
              </w:rPr>
              <w:t>☐</w:t>
            </w:r>
          </w:p>
        </w:tc>
        <w:tc>
          <w:tcPr>
            <w:tcW w:w="1290" w:type="dxa"/>
          </w:tcPr>
          <w:p w14:paraId="00B8CFC8" w14:textId="7FD3E4D7" w:rsidR="006A7F97" w:rsidRPr="00CE3210" w:rsidRDefault="008212FF" w:rsidP="00B93F1B">
            <w:pPr>
              <w:rPr>
                <w:rFonts w:cs="Tahoma"/>
              </w:rPr>
            </w:pPr>
            <w:r>
              <w:rPr>
                <w:rFonts w:ascii="Segoe UI Symbol" w:eastAsia="MS Gothic" w:hAnsi="Segoe UI Symbol" w:cs="Segoe UI Symbol"/>
              </w:rPr>
              <w:t>x</w:t>
            </w:r>
          </w:p>
        </w:tc>
        <w:tc>
          <w:tcPr>
            <w:tcW w:w="1500" w:type="dxa"/>
          </w:tcPr>
          <w:p w14:paraId="4D07D28B" w14:textId="6D228852" w:rsidR="006A7F97" w:rsidRPr="00CE3210" w:rsidRDefault="007605B6" w:rsidP="00B93F1B">
            <w:pPr>
              <w:rPr>
                <w:rFonts w:cs="Tahoma"/>
              </w:rPr>
            </w:pPr>
            <w:r w:rsidRPr="00CE3210">
              <w:rPr>
                <w:rFonts w:ascii="Segoe UI Symbol" w:eastAsia="MS Gothic" w:hAnsi="Segoe UI Symbol" w:cs="Segoe UI Symbol"/>
              </w:rPr>
              <w:t>☐</w:t>
            </w:r>
          </w:p>
        </w:tc>
        <w:tc>
          <w:tcPr>
            <w:tcW w:w="1500" w:type="dxa"/>
          </w:tcPr>
          <w:p w14:paraId="402502C0" w14:textId="6FF52F3F" w:rsidR="006A7F97" w:rsidRPr="00CE3210" w:rsidRDefault="007605B6" w:rsidP="00B93F1B">
            <w:pPr>
              <w:rPr>
                <w:rFonts w:cs="Tahoma"/>
              </w:rPr>
            </w:pPr>
            <w:r w:rsidRPr="00CE3210">
              <w:rPr>
                <w:rFonts w:ascii="Segoe UI Symbol" w:eastAsia="MS Gothic" w:hAnsi="Segoe UI Symbol" w:cs="Segoe UI Symbol"/>
              </w:rPr>
              <w:t>☐</w:t>
            </w:r>
          </w:p>
        </w:tc>
        <w:tc>
          <w:tcPr>
            <w:tcW w:w="1156" w:type="dxa"/>
          </w:tcPr>
          <w:p w14:paraId="66E76666" w14:textId="4634EC3F" w:rsidR="006A7F97" w:rsidRPr="00CE3210" w:rsidRDefault="007605B6" w:rsidP="00B93F1B">
            <w:pPr>
              <w:rPr>
                <w:rFonts w:cs="Tahoma"/>
              </w:rPr>
            </w:pPr>
            <w:r w:rsidRPr="00CE3210">
              <w:rPr>
                <w:rFonts w:ascii="Segoe UI Symbol" w:eastAsia="MS Gothic" w:hAnsi="Segoe UI Symbol" w:cs="Segoe UI Symbol"/>
              </w:rPr>
              <w:t>☐</w:t>
            </w:r>
          </w:p>
        </w:tc>
      </w:tr>
      <w:tr w:rsidR="006A7F97" w:rsidRPr="0011618E" w14:paraId="0DAE03D2" w14:textId="77777777" w:rsidTr="00B93F1B">
        <w:tc>
          <w:tcPr>
            <w:tcW w:w="3539" w:type="dxa"/>
          </w:tcPr>
          <w:p w14:paraId="62501ABC" w14:textId="77777777" w:rsidR="006A7F97" w:rsidRPr="0011618E" w:rsidRDefault="006A7F97">
            <w:pPr>
              <w:pStyle w:val="GMCA-Ztext"/>
              <w:numPr>
                <w:ilvl w:val="0"/>
                <w:numId w:val="16"/>
              </w:numPr>
            </w:pPr>
            <w:r w:rsidRPr="0011618E">
              <w:t xml:space="preserve">The amended duties are clear.  </w:t>
            </w:r>
          </w:p>
        </w:tc>
        <w:tc>
          <w:tcPr>
            <w:tcW w:w="644" w:type="dxa"/>
          </w:tcPr>
          <w:p w14:paraId="361E8639" w14:textId="76CE818C" w:rsidR="006A7F97" w:rsidRPr="00CE3210" w:rsidRDefault="007605B6" w:rsidP="00B93F1B">
            <w:pPr>
              <w:rPr>
                <w:rFonts w:cs="Tahoma"/>
              </w:rPr>
            </w:pPr>
            <w:r w:rsidRPr="00CE3210">
              <w:rPr>
                <w:rFonts w:ascii="Segoe UI Symbol" w:eastAsia="MS Gothic" w:hAnsi="Segoe UI Symbol" w:cs="Segoe UI Symbol"/>
              </w:rPr>
              <w:t>☐</w:t>
            </w:r>
          </w:p>
        </w:tc>
        <w:tc>
          <w:tcPr>
            <w:tcW w:w="1290" w:type="dxa"/>
          </w:tcPr>
          <w:p w14:paraId="4C101013" w14:textId="213A10DA" w:rsidR="006A7F97" w:rsidRPr="00CE3210" w:rsidRDefault="008212FF" w:rsidP="00B93F1B">
            <w:pPr>
              <w:rPr>
                <w:rFonts w:cs="Tahoma"/>
              </w:rPr>
            </w:pPr>
            <w:r>
              <w:rPr>
                <w:rFonts w:ascii="Segoe UI Symbol" w:eastAsia="MS Gothic" w:hAnsi="Segoe UI Symbol" w:cs="Segoe UI Symbol"/>
              </w:rPr>
              <w:t>x</w:t>
            </w:r>
          </w:p>
        </w:tc>
        <w:tc>
          <w:tcPr>
            <w:tcW w:w="1500" w:type="dxa"/>
          </w:tcPr>
          <w:p w14:paraId="1F457ACD" w14:textId="59479B59" w:rsidR="006A7F97" w:rsidRPr="00CE3210" w:rsidRDefault="007605B6" w:rsidP="00B93F1B">
            <w:pPr>
              <w:rPr>
                <w:rFonts w:cs="Tahoma"/>
              </w:rPr>
            </w:pPr>
            <w:r w:rsidRPr="00CE3210">
              <w:rPr>
                <w:rFonts w:ascii="Segoe UI Symbol" w:eastAsia="MS Gothic" w:hAnsi="Segoe UI Symbol" w:cs="Segoe UI Symbol"/>
              </w:rPr>
              <w:t>☐</w:t>
            </w:r>
          </w:p>
        </w:tc>
        <w:tc>
          <w:tcPr>
            <w:tcW w:w="1500" w:type="dxa"/>
          </w:tcPr>
          <w:p w14:paraId="4784D267" w14:textId="0BBA8FA6" w:rsidR="006A7F97" w:rsidRPr="00CE3210" w:rsidRDefault="007605B6" w:rsidP="00B93F1B">
            <w:pPr>
              <w:rPr>
                <w:rFonts w:cs="Tahoma"/>
              </w:rPr>
            </w:pPr>
            <w:r w:rsidRPr="00CE3210">
              <w:rPr>
                <w:rFonts w:ascii="Segoe UI Symbol" w:eastAsia="MS Gothic" w:hAnsi="Segoe UI Symbol" w:cs="Segoe UI Symbol"/>
              </w:rPr>
              <w:t>☐</w:t>
            </w:r>
          </w:p>
        </w:tc>
        <w:tc>
          <w:tcPr>
            <w:tcW w:w="1156" w:type="dxa"/>
          </w:tcPr>
          <w:p w14:paraId="4D88A1A5" w14:textId="0DCD5E01" w:rsidR="006A7F97" w:rsidRPr="00CE3210" w:rsidRDefault="007605B6" w:rsidP="00B93F1B">
            <w:pPr>
              <w:rPr>
                <w:rFonts w:cs="Tahoma"/>
              </w:rPr>
            </w:pPr>
            <w:r w:rsidRPr="00CE3210">
              <w:rPr>
                <w:rFonts w:ascii="Segoe UI Symbol" w:eastAsia="MS Gothic" w:hAnsi="Segoe UI Symbol" w:cs="Segoe UI Symbol"/>
              </w:rPr>
              <w:t>☐</w:t>
            </w:r>
          </w:p>
        </w:tc>
      </w:tr>
      <w:tr w:rsidR="006A7F97" w14:paraId="6619BA51" w14:textId="77777777" w:rsidTr="00B93F1B">
        <w:tc>
          <w:tcPr>
            <w:tcW w:w="3539" w:type="dxa"/>
          </w:tcPr>
          <w:p w14:paraId="67D550B3" w14:textId="77777777" w:rsidR="006A7F97" w:rsidRPr="0011618E" w:rsidRDefault="006A7F97">
            <w:pPr>
              <w:pStyle w:val="GMCA-Ztext"/>
              <w:numPr>
                <w:ilvl w:val="0"/>
                <w:numId w:val="16"/>
              </w:numPr>
            </w:pPr>
            <w:r w:rsidRPr="0011618E">
              <w:t xml:space="preserve">The amended duties realistic.  </w:t>
            </w:r>
          </w:p>
        </w:tc>
        <w:tc>
          <w:tcPr>
            <w:tcW w:w="644" w:type="dxa"/>
          </w:tcPr>
          <w:p w14:paraId="7D85D2D1" w14:textId="34AA43A8" w:rsidR="006A7F97" w:rsidRPr="00CE3210" w:rsidRDefault="007605B6" w:rsidP="00B93F1B">
            <w:pPr>
              <w:rPr>
                <w:rFonts w:cs="Tahoma"/>
              </w:rPr>
            </w:pPr>
            <w:r w:rsidRPr="00CE3210">
              <w:rPr>
                <w:rFonts w:ascii="Segoe UI Symbol" w:eastAsia="MS Gothic" w:hAnsi="Segoe UI Symbol" w:cs="Segoe UI Symbol"/>
              </w:rPr>
              <w:t>☐</w:t>
            </w:r>
          </w:p>
        </w:tc>
        <w:tc>
          <w:tcPr>
            <w:tcW w:w="1290" w:type="dxa"/>
          </w:tcPr>
          <w:p w14:paraId="11F59C6E" w14:textId="44537D40" w:rsidR="006A7F97" w:rsidRPr="00CE3210" w:rsidRDefault="008212FF" w:rsidP="00B93F1B">
            <w:pPr>
              <w:rPr>
                <w:rFonts w:cs="Tahoma"/>
              </w:rPr>
            </w:pPr>
            <w:r>
              <w:rPr>
                <w:rFonts w:ascii="Segoe UI Symbol" w:eastAsia="MS Gothic" w:hAnsi="Segoe UI Symbol" w:cs="Segoe UI Symbol"/>
              </w:rPr>
              <w:t>x</w:t>
            </w:r>
          </w:p>
        </w:tc>
        <w:tc>
          <w:tcPr>
            <w:tcW w:w="1500" w:type="dxa"/>
          </w:tcPr>
          <w:p w14:paraId="167EEF38" w14:textId="29251CB4" w:rsidR="006A7F97" w:rsidRPr="00CE3210" w:rsidRDefault="007605B6" w:rsidP="00B93F1B">
            <w:pPr>
              <w:rPr>
                <w:rFonts w:cs="Tahoma"/>
              </w:rPr>
            </w:pPr>
            <w:r w:rsidRPr="00CE3210">
              <w:rPr>
                <w:rFonts w:ascii="Segoe UI Symbol" w:eastAsia="MS Gothic" w:hAnsi="Segoe UI Symbol" w:cs="Segoe UI Symbol"/>
              </w:rPr>
              <w:t>☐</w:t>
            </w:r>
          </w:p>
        </w:tc>
        <w:tc>
          <w:tcPr>
            <w:tcW w:w="1500" w:type="dxa"/>
          </w:tcPr>
          <w:p w14:paraId="1EAC0738" w14:textId="1104213D" w:rsidR="006A7F97" w:rsidRPr="00CE3210" w:rsidRDefault="007605B6" w:rsidP="00B93F1B">
            <w:pPr>
              <w:rPr>
                <w:rFonts w:cs="Tahoma"/>
              </w:rPr>
            </w:pPr>
            <w:r w:rsidRPr="00CE3210">
              <w:rPr>
                <w:rFonts w:ascii="Segoe UI Symbol" w:eastAsia="MS Gothic" w:hAnsi="Segoe UI Symbol" w:cs="Segoe UI Symbol"/>
              </w:rPr>
              <w:t>☐</w:t>
            </w:r>
          </w:p>
        </w:tc>
        <w:tc>
          <w:tcPr>
            <w:tcW w:w="1156" w:type="dxa"/>
          </w:tcPr>
          <w:p w14:paraId="489DBAF2" w14:textId="35A56FDB" w:rsidR="006A7F97" w:rsidRPr="00CE3210" w:rsidRDefault="007605B6" w:rsidP="00B93F1B">
            <w:pPr>
              <w:rPr>
                <w:rFonts w:cs="Tahoma"/>
              </w:rPr>
            </w:pPr>
            <w:r w:rsidRPr="00CE3210">
              <w:rPr>
                <w:rFonts w:ascii="Segoe UI Symbol" w:eastAsia="MS Gothic" w:hAnsi="Segoe UI Symbol" w:cs="Segoe UI Symbol"/>
              </w:rPr>
              <w:t>☐</w:t>
            </w:r>
          </w:p>
        </w:tc>
      </w:tr>
    </w:tbl>
    <w:p w14:paraId="040D9E8E" w14:textId="77777777" w:rsidR="006A7F97" w:rsidRPr="00072873" w:rsidRDefault="006A7F97" w:rsidP="006A7F97">
      <w:pPr>
        <w:pStyle w:val="GMCNumbertext"/>
        <w:numPr>
          <w:ilvl w:val="0"/>
          <w:numId w:val="0"/>
        </w:numPr>
        <w:rPr>
          <w:b/>
          <w:bCs/>
        </w:rPr>
      </w:pPr>
    </w:p>
    <w:p w14:paraId="4BA61577" w14:textId="77777777" w:rsidR="006A7F97" w:rsidRDefault="006A7F97">
      <w:pPr>
        <w:spacing w:after="0" w:line="240" w:lineRule="auto"/>
        <w:rPr>
          <w:b/>
        </w:rPr>
      </w:pPr>
      <w:r>
        <w:br w:type="page"/>
      </w:r>
    </w:p>
    <w:p w14:paraId="19885AFF" w14:textId="2A3EF0BC" w:rsidR="006A7F97" w:rsidRDefault="006A7F97" w:rsidP="006A7F97">
      <w:pPr>
        <w:pStyle w:val="GMCNormalBold"/>
      </w:pPr>
      <w:r>
        <w:lastRenderedPageBreak/>
        <w:t>W</w:t>
      </w:r>
      <w:r w:rsidRPr="00D35242">
        <w:t xml:space="preserve">e’d </w:t>
      </w:r>
      <w:r>
        <w:t xml:space="preserve">also </w:t>
      </w:r>
      <w:r w:rsidRPr="00D35242">
        <w:t>welcome any other feedback including</w:t>
      </w:r>
      <w:r>
        <w:t>,</w:t>
      </w:r>
      <w:r w:rsidRPr="00D35242">
        <w:t xml:space="preserve"> for example, whether the amended guidance could apply to all medical professionals and whether there could be any unintended consequences arising from it. </w:t>
      </w:r>
    </w:p>
    <w:p w14:paraId="1F179EF6" w14:textId="2A16305A" w:rsidR="006A7F97" w:rsidRPr="00A3786B" w:rsidRDefault="2CD62766" w:rsidP="006A7F97">
      <w:pPr>
        <w:pStyle w:val="GMCNumbertext"/>
        <w:numPr>
          <w:ilvl w:val="0"/>
          <w:numId w:val="1"/>
        </w:numPr>
      </w:pPr>
      <w:r>
        <w:t xml:space="preserve">Comments on theme three </w:t>
      </w:r>
    </w:p>
    <w:tbl>
      <w:tblPr>
        <w:tblStyle w:val="TableGrid"/>
        <w:tblW w:w="0" w:type="auto"/>
        <w:tblLook w:val="04A0" w:firstRow="1" w:lastRow="0" w:firstColumn="1" w:lastColumn="0" w:noHBand="0" w:noVBand="1"/>
      </w:tblPr>
      <w:tblGrid>
        <w:gridCol w:w="9629"/>
      </w:tblGrid>
      <w:tr w:rsidR="006A7F97" w14:paraId="34C0B64C" w14:textId="77777777" w:rsidTr="5305D027">
        <w:tc>
          <w:tcPr>
            <w:tcW w:w="9629" w:type="dxa"/>
          </w:tcPr>
          <w:p w14:paraId="79F6084F" w14:textId="05C92E32" w:rsidR="008212FF" w:rsidRDefault="008212FF" w:rsidP="00B93F1B">
            <w:r>
              <w:t>Although agreeing with the above statements we would like to suggest some small, but important, additions.</w:t>
            </w:r>
          </w:p>
          <w:p w14:paraId="761E12E9" w14:textId="42CA3D40" w:rsidR="008212FF" w:rsidRDefault="008212FF" w:rsidP="00B93F1B">
            <w:r>
              <w:t>With regard to how attitudes and behaviours may influence or affect others we would suggest that in addition to role modelling supportive, inclusive and compassionate behaviour there should be an expectation</w:t>
            </w:r>
            <w:r w:rsidR="00D84DA3">
              <w:t xml:space="preserve"> that within a team the medical professional should</w:t>
            </w:r>
            <w:r>
              <w:t xml:space="preserve"> </w:t>
            </w:r>
            <w:r w:rsidR="00D84DA3">
              <w:t>demonstrate leadership with regard to ethical practice that incorporates honesty and integrity.</w:t>
            </w:r>
          </w:p>
          <w:p w14:paraId="16B6407E" w14:textId="59397D07" w:rsidR="006A7F97" w:rsidRDefault="0CC751EE" w:rsidP="00B93F1B">
            <w:r>
              <w:t>Paragraph 15</w:t>
            </w:r>
            <w:r w:rsidR="00D84DA3">
              <w:t xml:space="preserve"> is an important element of the guidance and a</w:t>
            </w:r>
            <w:r>
              <w:t>lign</w:t>
            </w:r>
            <w:r w:rsidR="00D84DA3">
              <w:t>s</w:t>
            </w:r>
            <w:r>
              <w:t xml:space="preserve"> with </w:t>
            </w:r>
            <w:r w:rsidR="00D84DA3">
              <w:t xml:space="preserve">the </w:t>
            </w:r>
            <w:r>
              <w:t xml:space="preserve">Quality Improvement activities </w:t>
            </w:r>
            <w:r w:rsidR="007A3660">
              <w:t>that</w:t>
            </w:r>
            <w:r>
              <w:t xml:space="preserve"> are an important element of pharmaceutical medicine</w:t>
            </w:r>
            <w:r w:rsidR="007A3660">
              <w:t>. It</w:t>
            </w:r>
            <w:r>
              <w:t xml:space="preserve"> </w:t>
            </w:r>
            <w:r w:rsidR="00D84DA3">
              <w:t xml:space="preserve">is duly </w:t>
            </w:r>
            <w:r>
              <w:t>reflected in current revalidation assessment.</w:t>
            </w:r>
          </w:p>
          <w:p w14:paraId="486A6565" w14:textId="0D7E5BAC" w:rsidR="00454C19" w:rsidRPr="00454C19" w:rsidRDefault="2CD62766" w:rsidP="00B93F1B">
            <w:pPr>
              <w:rPr>
                <w:color w:val="000000" w:themeColor="text1"/>
              </w:rPr>
            </w:pPr>
            <w:r w:rsidRPr="2CD62766">
              <w:rPr>
                <w:color w:val="000000" w:themeColor="text1"/>
              </w:rPr>
              <w:t>Para</w:t>
            </w:r>
            <w:r w:rsidR="00D84DA3">
              <w:rPr>
                <w:color w:val="000000" w:themeColor="text1"/>
              </w:rPr>
              <w:t>graph</w:t>
            </w:r>
            <w:r w:rsidRPr="2CD62766">
              <w:rPr>
                <w:color w:val="000000" w:themeColor="text1"/>
              </w:rPr>
              <w:t xml:space="preserve"> 16 reflects the </w:t>
            </w:r>
            <w:r w:rsidR="007E6622">
              <w:rPr>
                <w:color w:val="000000" w:themeColor="text1"/>
              </w:rPr>
              <w:t xml:space="preserve">importance of clinical governance and risk management within an organisation. Perhaps “training requirements” could be added to this. The </w:t>
            </w:r>
            <w:r w:rsidR="007E6622" w:rsidRPr="2CD62766">
              <w:rPr>
                <w:color w:val="000000" w:themeColor="text1"/>
              </w:rPr>
              <w:t xml:space="preserve">wider responsibilities </w:t>
            </w:r>
            <w:r w:rsidR="007E6622">
              <w:rPr>
                <w:color w:val="000000" w:themeColor="text1"/>
              </w:rPr>
              <w:t>regarding</w:t>
            </w:r>
            <w:r w:rsidR="007E6622" w:rsidRPr="2CD62766">
              <w:rPr>
                <w:color w:val="000000" w:themeColor="text1"/>
              </w:rPr>
              <w:t xml:space="preserve"> external regulatory expectations</w:t>
            </w:r>
            <w:r w:rsidR="007E6622">
              <w:rPr>
                <w:color w:val="000000" w:themeColor="text1"/>
              </w:rPr>
              <w:t xml:space="preserve"> could usefully be added</w:t>
            </w:r>
            <w:r w:rsidR="007E6622" w:rsidRPr="2CD62766">
              <w:rPr>
                <w:color w:val="000000" w:themeColor="text1"/>
              </w:rPr>
              <w:t xml:space="preserve">. </w:t>
            </w:r>
            <w:r w:rsidR="007E6622">
              <w:rPr>
                <w:color w:val="000000" w:themeColor="text1"/>
              </w:rPr>
              <w:t xml:space="preserve"> </w:t>
            </w:r>
          </w:p>
        </w:tc>
      </w:tr>
    </w:tbl>
    <w:p w14:paraId="313837F7" w14:textId="30F831E7" w:rsidR="006A7F97" w:rsidRDefault="006A7F97" w:rsidP="008B0C91">
      <w:pPr>
        <w:rPr>
          <w:bCs/>
          <w:iCs/>
          <w:color w:val="00377B"/>
          <w:kern w:val="32"/>
          <w:sz w:val="32"/>
          <w:szCs w:val="28"/>
        </w:rPr>
      </w:pPr>
    </w:p>
    <w:p w14:paraId="3C9F4189" w14:textId="44A1FDB6" w:rsidR="006A7F97" w:rsidRDefault="006A7F97">
      <w:pPr>
        <w:spacing w:after="0" w:line="240" w:lineRule="auto"/>
        <w:rPr>
          <w:bCs/>
          <w:iCs/>
          <w:color w:val="00377B"/>
          <w:kern w:val="32"/>
          <w:sz w:val="32"/>
          <w:szCs w:val="28"/>
        </w:rPr>
      </w:pPr>
      <w:r>
        <w:rPr>
          <w:bCs/>
          <w:iCs/>
          <w:color w:val="00377B"/>
          <w:kern w:val="32"/>
          <w:sz w:val="32"/>
          <w:szCs w:val="28"/>
        </w:rPr>
        <w:br w:type="page"/>
      </w:r>
    </w:p>
    <w:p w14:paraId="2915AAAC" w14:textId="77777777" w:rsidR="006A7F97" w:rsidRDefault="006A7F97" w:rsidP="006A7F97">
      <w:pPr>
        <w:pStyle w:val="Heading2"/>
      </w:pPr>
      <w:r>
        <w:lastRenderedPageBreak/>
        <w:t xml:space="preserve">Theme four: Leadership </w:t>
      </w:r>
    </w:p>
    <w:p w14:paraId="3F415237" w14:textId="77777777" w:rsidR="006A7F97" w:rsidRDefault="006A7F97" w:rsidP="006A7F97">
      <w:r w:rsidRPr="00067CDF">
        <w:t xml:space="preserve">The current edition of GMP </w:t>
      </w:r>
      <w:r>
        <w:t xml:space="preserve">doesn’t mention </w:t>
      </w:r>
      <w:r w:rsidRPr="00067CDF">
        <w:t>the word ‘leadership’.</w:t>
      </w:r>
      <w:r>
        <w:t xml:space="preserve"> This is because we wanted </w:t>
      </w:r>
      <w:r w:rsidRPr="00067CDF">
        <w:t>to avoid reinforcing the idea that only doctors could lead teams made up of other healthcare professionals</w:t>
      </w:r>
      <w:r>
        <w:t xml:space="preserve">. </w:t>
      </w:r>
      <w:bookmarkStart w:id="15" w:name="_Hlk97203230"/>
      <w:r>
        <w:t xml:space="preserve">Instead, we referenced </w:t>
      </w:r>
      <w:r w:rsidRPr="00067CDF">
        <w:t xml:space="preserve">our </w:t>
      </w:r>
      <w:r>
        <w:t xml:space="preserve">then </w:t>
      </w:r>
      <w:r w:rsidRPr="00067CDF">
        <w:t xml:space="preserve">newly published guidance on </w:t>
      </w:r>
      <w:r w:rsidRPr="00206803">
        <w:rPr>
          <w:i/>
          <w:iCs/>
        </w:rPr>
        <w:t xml:space="preserve">Leadership and </w:t>
      </w:r>
      <w:r>
        <w:rPr>
          <w:i/>
          <w:iCs/>
        </w:rPr>
        <w:t>m</w:t>
      </w:r>
      <w:r w:rsidRPr="00206803">
        <w:rPr>
          <w:i/>
          <w:iCs/>
        </w:rPr>
        <w:t>anagement</w:t>
      </w:r>
      <w:r w:rsidRPr="00067CDF">
        <w:t xml:space="preserve"> </w:t>
      </w:r>
      <w:r>
        <w:t>where we could ex</w:t>
      </w:r>
      <w:r w:rsidRPr="00067CDF">
        <w:t xml:space="preserve">pand on concepts of formal and informal leadership. </w:t>
      </w:r>
      <w:bookmarkEnd w:id="15"/>
    </w:p>
    <w:p w14:paraId="47FBD7A1" w14:textId="77777777" w:rsidR="006A7F97" w:rsidRDefault="006A7F97" w:rsidP="006A7F97">
      <w:r>
        <w:t>We</w:t>
      </w:r>
      <w:r w:rsidRPr="00067CDF">
        <w:t xml:space="preserve"> think it</w:t>
      </w:r>
      <w:r>
        <w:t>’</w:t>
      </w:r>
      <w:r w:rsidRPr="00067CDF">
        <w:t xml:space="preserve">s now time to incorporate leadership </w:t>
      </w:r>
      <w:r>
        <w:t xml:space="preserve">duties </w:t>
      </w:r>
      <w:r w:rsidRPr="00067CDF">
        <w:t>into GMP.</w:t>
      </w:r>
      <w:r>
        <w:t xml:space="preserve"> Our research and pre</w:t>
      </w:r>
      <w:r>
        <w:noBreakHyphen/>
        <w:t xml:space="preserve">consultation activities found recurring evidence of the need for medical professionals to use and develop their everyday leadership skills to promote inclusive cultures, for the benefit of safe patient care. We also saw that medical professionals don’t always recognise that behaviours and skills they demonstrate daily are examples of everyday leadership.  </w:t>
      </w:r>
    </w:p>
    <w:p w14:paraId="238C188D" w14:textId="33C093F9" w:rsidR="006A7F97" w:rsidRDefault="006A7F97" w:rsidP="006A7F97">
      <w:r>
        <w:t>A</w:t>
      </w:r>
      <w:r w:rsidRPr="00067CDF">
        <w:t xml:space="preserve"> decade of </w:t>
      </w:r>
      <w:r>
        <w:noBreakHyphen/>
      </w:r>
      <w:r w:rsidRPr="00067CDF">
        <w:t>high profile</w:t>
      </w:r>
      <w:r>
        <w:t xml:space="preserve"> </w:t>
      </w:r>
      <w:r w:rsidRPr="00067CDF">
        <w:t>healthcare reviews and inquiries</w:t>
      </w:r>
      <w:r>
        <w:t xml:space="preserve"> have also highlighted </w:t>
      </w:r>
      <w:r w:rsidRPr="00067CDF">
        <w:t>inadequate leadership and poor working culture as either the root cause of</w:t>
      </w:r>
      <w:r>
        <w:t>,</w:t>
      </w:r>
      <w:r w:rsidRPr="00067CDF">
        <w:t xml:space="preserve"> or a contributing factor to the failings they</w:t>
      </w:r>
      <w:r>
        <w:t xml:space="preserve"> </w:t>
      </w:r>
      <w:r w:rsidRPr="00067CDF">
        <w:t>investigated</w:t>
      </w:r>
      <w:r>
        <w:t>.</w:t>
      </w:r>
    </w:p>
    <w:p w14:paraId="5096A3A0" w14:textId="3DCACD0A" w:rsidR="006A7F97" w:rsidRDefault="006A7F97" w:rsidP="006A7F97">
      <w:r>
        <w:t xml:space="preserve">We’ve made some changes to highlight all forms of leadership, not just formal leadership and management roles, and to support all medical professionals to shape </w:t>
      </w:r>
      <w:r w:rsidR="00FD4066">
        <w:t>inclusive</w:t>
      </w:r>
      <w:r>
        <w:t xml:space="preserve"> cultures</w:t>
      </w:r>
      <w:r w:rsidR="00FD4066">
        <w:t xml:space="preserve"> that deliver safe care</w:t>
      </w:r>
      <w:r>
        <w:t xml:space="preserve">. </w:t>
      </w:r>
    </w:p>
    <w:p w14:paraId="3E101920" w14:textId="77777777" w:rsidR="006A7F97" w:rsidRDefault="006A7F97" w:rsidP="006A7F97">
      <w:r>
        <w:t xml:space="preserve">These are the main changes we’ve made: </w:t>
      </w:r>
    </w:p>
    <w:p w14:paraId="0AA0BEF7" w14:textId="77777777" w:rsidR="006A7F97" w:rsidRPr="00E334B5" w:rsidRDefault="006A7F97">
      <w:pPr>
        <w:pStyle w:val="ListBullet"/>
        <w:numPr>
          <w:ilvl w:val="0"/>
          <w:numId w:val="3"/>
        </w:numPr>
      </w:pPr>
      <w:r w:rsidRPr="00E334B5">
        <w:rPr>
          <w:b/>
          <w:bCs/>
          <w:lang w:val="en"/>
        </w:rPr>
        <w:t xml:space="preserve">New duty at paragraph 20, </w:t>
      </w:r>
      <w:r w:rsidRPr="00E334B5">
        <w:rPr>
          <w:lang w:val="en"/>
        </w:rPr>
        <w:t xml:space="preserve">which says that medical leaders must encourage and support colleagues to raise concerns and make sure they are acted on appropriately. We have brought this duty in from our existing </w:t>
      </w:r>
      <w:r w:rsidRPr="00E334B5">
        <w:rPr>
          <w:i/>
          <w:iCs/>
          <w:lang w:val="en"/>
        </w:rPr>
        <w:t xml:space="preserve">Raising and acting on concerns </w:t>
      </w:r>
      <w:r w:rsidRPr="00E334B5">
        <w:rPr>
          <w:lang w:val="en"/>
        </w:rPr>
        <w:t xml:space="preserve">guidance. We’ve had feedback that the existing duty to raise concerns puts the burden in the wrong place if people in leadership roles do not also take responsibility </w:t>
      </w:r>
      <w:r w:rsidRPr="00E334B5">
        <w:t xml:space="preserve">for listening up and following up. </w:t>
      </w:r>
    </w:p>
    <w:p w14:paraId="53CAB124" w14:textId="77777777" w:rsidR="006A7F97" w:rsidRPr="00E334B5" w:rsidRDefault="006A7F97">
      <w:pPr>
        <w:pStyle w:val="ListBullet"/>
        <w:numPr>
          <w:ilvl w:val="0"/>
          <w:numId w:val="3"/>
        </w:numPr>
        <w:rPr>
          <w:b/>
          <w:bCs/>
          <w:lang w:val="en"/>
        </w:rPr>
      </w:pPr>
      <w:r w:rsidRPr="00E334B5">
        <w:rPr>
          <w:b/>
          <w:bCs/>
        </w:rPr>
        <w:t xml:space="preserve">Amended existing paragraph 7 (now paragraph 48) </w:t>
      </w:r>
      <w:r w:rsidRPr="00E334B5">
        <w:t>to include the duty to be competent in formal leadership roles, where that is applicable.</w:t>
      </w:r>
    </w:p>
    <w:p w14:paraId="21FAA0C0" w14:textId="77777777" w:rsidR="006A7F97" w:rsidRPr="00E334B5" w:rsidRDefault="006A7F97">
      <w:pPr>
        <w:pStyle w:val="ListBullet"/>
        <w:numPr>
          <w:ilvl w:val="0"/>
          <w:numId w:val="3"/>
        </w:numPr>
        <w:rPr>
          <w:b/>
          <w:bCs/>
          <w:lang w:val="en"/>
        </w:rPr>
      </w:pPr>
      <w:r w:rsidRPr="00E334B5">
        <w:rPr>
          <w:b/>
          <w:bCs/>
        </w:rPr>
        <w:t xml:space="preserve">New duty paragraph 57, </w:t>
      </w:r>
      <w:r w:rsidRPr="00E334B5">
        <w:t xml:space="preserve">which says that medical professionals must seek and respond constructively to feedback, using it to improve practice and performance. This new duty feeds into teamworking and leadership capabilities and is intended to drive active self-development and self-awareness, which in turn can benefit the individual professional, team and patients. </w:t>
      </w:r>
    </w:p>
    <w:p w14:paraId="26F5A418" w14:textId="3C485769" w:rsidR="006A7F97" w:rsidRDefault="006A7F97">
      <w:pPr>
        <w:pStyle w:val="ListBullet"/>
        <w:numPr>
          <w:ilvl w:val="0"/>
          <w:numId w:val="3"/>
        </w:numPr>
        <w:rPr>
          <w:lang w:val="en"/>
        </w:rPr>
      </w:pPr>
      <w:r w:rsidRPr="00E334B5">
        <w:rPr>
          <w:b/>
          <w:bCs/>
          <w:lang w:val="en"/>
        </w:rPr>
        <w:t>New duty at</w:t>
      </w:r>
      <w:r w:rsidRPr="00E334B5">
        <w:rPr>
          <w:lang w:val="en"/>
        </w:rPr>
        <w:t xml:space="preserve"> </w:t>
      </w:r>
      <w:r w:rsidRPr="00E334B5">
        <w:rPr>
          <w:b/>
          <w:bCs/>
        </w:rPr>
        <w:t xml:space="preserve">paragraph 62, </w:t>
      </w:r>
      <w:r w:rsidRPr="00E334B5">
        <w:t>which says</w:t>
      </w:r>
      <w:r w:rsidRPr="00D95E16">
        <w:t xml:space="preserve"> that all</w:t>
      </w:r>
      <w:r w:rsidRPr="00B761B0">
        <w:t xml:space="preserve"> medical professionals </w:t>
      </w:r>
      <w:r>
        <w:t>should</w:t>
      </w:r>
      <w:r w:rsidRPr="00B761B0">
        <w:t xml:space="preserve"> develop </w:t>
      </w:r>
      <w:r w:rsidRPr="00B761B0">
        <w:rPr>
          <w:lang w:val="en"/>
        </w:rPr>
        <w:t xml:space="preserve">leadership skills </w:t>
      </w:r>
      <w:r w:rsidRPr="00D95E16">
        <w:t>appropriate</w:t>
      </w:r>
      <w:r w:rsidRPr="00B761B0">
        <w:rPr>
          <w:lang w:val="en"/>
        </w:rPr>
        <w:t xml:space="preserve"> to their role, and work with others to make healthcare environments more supportive, inclusive and fair.</w:t>
      </w:r>
      <w:r w:rsidR="00E334B5">
        <w:rPr>
          <w:lang w:val="en"/>
        </w:rPr>
        <w:t xml:space="preserve"> </w:t>
      </w:r>
    </w:p>
    <w:p w14:paraId="3E4E2153" w14:textId="5661403F" w:rsidR="00E334B5" w:rsidRDefault="00E334B5" w:rsidP="00E334B5">
      <w:pPr>
        <w:pStyle w:val="ListBullet"/>
        <w:numPr>
          <w:ilvl w:val="0"/>
          <w:numId w:val="0"/>
        </w:numPr>
        <w:rPr>
          <w:b/>
          <w:bCs/>
          <w:lang w:val="en"/>
        </w:rPr>
      </w:pPr>
    </w:p>
    <w:p w14:paraId="6BEA9B95" w14:textId="77777777" w:rsidR="00E334B5" w:rsidRPr="00913F00" w:rsidRDefault="00E334B5" w:rsidP="00E334B5">
      <w:pPr>
        <w:pStyle w:val="ListBullet"/>
        <w:numPr>
          <w:ilvl w:val="0"/>
          <w:numId w:val="0"/>
        </w:numPr>
        <w:rPr>
          <w:lang w:val="en"/>
        </w:rPr>
      </w:pPr>
    </w:p>
    <w:p w14:paraId="38A4E4FE" w14:textId="77777777" w:rsidR="006A7F97" w:rsidRDefault="2CD62766" w:rsidP="006A7F97">
      <w:pPr>
        <w:pStyle w:val="GMCNumbertext"/>
        <w:numPr>
          <w:ilvl w:val="0"/>
          <w:numId w:val="1"/>
        </w:numPr>
        <w:rPr>
          <w:b/>
          <w:bCs/>
        </w:rPr>
      </w:pPr>
      <w:r w:rsidRPr="2CD62766">
        <w:rPr>
          <w:b/>
          <w:bCs/>
        </w:rPr>
        <w:lastRenderedPageBreak/>
        <w:t xml:space="preserve">How far do you agree or disagree with these statements?   </w:t>
      </w:r>
    </w:p>
    <w:tbl>
      <w:tblPr>
        <w:tblStyle w:val="TableGrid"/>
        <w:tblW w:w="9865" w:type="dxa"/>
        <w:tblLook w:val="04A0" w:firstRow="1" w:lastRow="0" w:firstColumn="1" w:lastColumn="0" w:noHBand="0" w:noVBand="1"/>
      </w:tblPr>
      <w:tblGrid>
        <w:gridCol w:w="2440"/>
        <w:gridCol w:w="1509"/>
        <w:gridCol w:w="1438"/>
        <w:gridCol w:w="1525"/>
        <w:gridCol w:w="1525"/>
        <w:gridCol w:w="1428"/>
      </w:tblGrid>
      <w:tr w:rsidR="006A7F97" w:rsidRPr="0011618E" w14:paraId="3F913A96" w14:textId="77777777" w:rsidTr="00B93F1B">
        <w:tc>
          <w:tcPr>
            <w:tcW w:w="2440" w:type="dxa"/>
          </w:tcPr>
          <w:p w14:paraId="28F1A790" w14:textId="77777777" w:rsidR="006A7F97" w:rsidRPr="0011618E" w:rsidRDefault="006A7F97" w:rsidP="00B93F1B">
            <w:pPr>
              <w:rPr>
                <w:b/>
                <w:bCs/>
              </w:rPr>
            </w:pPr>
            <w:r w:rsidRPr="0011618E">
              <w:rPr>
                <w:b/>
                <w:bCs/>
              </w:rPr>
              <w:t xml:space="preserve">Statements </w:t>
            </w:r>
          </w:p>
        </w:tc>
        <w:tc>
          <w:tcPr>
            <w:tcW w:w="1509" w:type="dxa"/>
          </w:tcPr>
          <w:p w14:paraId="59B5F722" w14:textId="2DCE7C83" w:rsidR="006A7F97" w:rsidRPr="0011618E" w:rsidRDefault="00FD4066" w:rsidP="00B93F1B">
            <w:pPr>
              <w:rPr>
                <w:b/>
                <w:bCs/>
              </w:rPr>
            </w:pPr>
            <w:r>
              <w:rPr>
                <w:b/>
                <w:bCs/>
              </w:rPr>
              <w:t>S</w:t>
            </w:r>
            <w:r w:rsidR="006A7F97" w:rsidRPr="0011618E">
              <w:rPr>
                <w:b/>
                <w:bCs/>
              </w:rPr>
              <w:t>trongly</w:t>
            </w:r>
            <w:r>
              <w:rPr>
                <w:b/>
                <w:bCs/>
              </w:rPr>
              <w:t xml:space="preserve"> agree</w:t>
            </w:r>
          </w:p>
        </w:tc>
        <w:tc>
          <w:tcPr>
            <w:tcW w:w="1438" w:type="dxa"/>
          </w:tcPr>
          <w:p w14:paraId="34D6B98E" w14:textId="77777777" w:rsidR="006A7F97" w:rsidRPr="0011618E" w:rsidRDefault="006A7F97" w:rsidP="00B93F1B">
            <w:pPr>
              <w:rPr>
                <w:b/>
                <w:bCs/>
              </w:rPr>
            </w:pPr>
            <w:r w:rsidRPr="0011618E">
              <w:rPr>
                <w:b/>
                <w:bCs/>
              </w:rPr>
              <w:t>Agree</w:t>
            </w:r>
          </w:p>
        </w:tc>
        <w:tc>
          <w:tcPr>
            <w:tcW w:w="1525" w:type="dxa"/>
          </w:tcPr>
          <w:p w14:paraId="2C994D23" w14:textId="77777777" w:rsidR="006A7F97" w:rsidRPr="0011618E" w:rsidRDefault="006A7F97" w:rsidP="00B93F1B">
            <w:pPr>
              <w:rPr>
                <w:b/>
                <w:bCs/>
              </w:rPr>
            </w:pPr>
            <w:r w:rsidRPr="0011618E">
              <w:rPr>
                <w:b/>
                <w:bCs/>
              </w:rPr>
              <w:t xml:space="preserve">Disagree </w:t>
            </w:r>
          </w:p>
        </w:tc>
        <w:tc>
          <w:tcPr>
            <w:tcW w:w="1525" w:type="dxa"/>
          </w:tcPr>
          <w:p w14:paraId="1030F54F" w14:textId="121E1447" w:rsidR="006A7F97" w:rsidRPr="0011618E" w:rsidRDefault="00FD4066" w:rsidP="00B93F1B">
            <w:pPr>
              <w:rPr>
                <w:b/>
                <w:bCs/>
              </w:rPr>
            </w:pPr>
            <w:r>
              <w:rPr>
                <w:b/>
                <w:bCs/>
              </w:rPr>
              <w:t>S</w:t>
            </w:r>
            <w:r w:rsidR="006A7F97" w:rsidRPr="0011618E">
              <w:rPr>
                <w:b/>
                <w:bCs/>
              </w:rPr>
              <w:t>trongly</w:t>
            </w:r>
            <w:r>
              <w:rPr>
                <w:b/>
                <w:bCs/>
              </w:rPr>
              <w:t xml:space="preserve"> disagree </w:t>
            </w:r>
          </w:p>
        </w:tc>
        <w:tc>
          <w:tcPr>
            <w:tcW w:w="1428" w:type="dxa"/>
          </w:tcPr>
          <w:p w14:paraId="413F9704" w14:textId="77777777" w:rsidR="006A7F97" w:rsidRPr="0011618E" w:rsidRDefault="006A7F97" w:rsidP="00B93F1B">
            <w:pPr>
              <w:rPr>
                <w:b/>
                <w:bCs/>
              </w:rPr>
            </w:pPr>
            <w:r w:rsidRPr="0011618E">
              <w:rPr>
                <w:b/>
                <w:bCs/>
              </w:rPr>
              <w:t>Don’t know</w:t>
            </w:r>
          </w:p>
        </w:tc>
      </w:tr>
      <w:tr w:rsidR="006A7F97" w:rsidRPr="0011618E" w14:paraId="736A17C7" w14:textId="77777777" w:rsidTr="00B93F1B">
        <w:tc>
          <w:tcPr>
            <w:tcW w:w="2440" w:type="dxa"/>
          </w:tcPr>
          <w:p w14:paraId="418166EE" w14:textId="1E29521C" w:rsidR="006A7F97" w:rsidRPr="0011618E" w:rsidRDefault="006A7F97">
            <w:pPr>
              <w:pStyle w:val="GMCA-Ztext"/>
              <w:numPr>
                <w:ilvl w:val="0"/>
                <w:numId w:val="14"/>
              </w:numPr>
            </w:pPr>
            <w:r w:rsidRPr="0011618E">
              <w:t xml:space="preserve">The amended duties </w:t>
            </w:r>
            <w:r>
              <w:t xml:space="preserve">will support all medical professionals to shape </w:t>
            </w:r>
            <w:r w:rsidR="00FD4066">
              <w:t>inclusive</w:t>
            </w:r>
            <w:r>
              <w:t xml:space="preserve"> cultures</w:t>
            </w:r>
            <w:r w:rsidR="00FD4066">
              <w:t xml:space="preserve"> that deliver safe care.</w:t>
            </w:r>
            <w:r>
              <w:t xml:space="preserve"> </w:t>
            </w:r>
          </w:p>
        </w:tc>
        <w:tc>
          <w:tcPr>
            <w:tcW w:w="1509" w:type="dxa"/>
          </w:tcPr>
          <w:p w14:paraId="1C569B85" w14:textId="78A5BB32" w:rsidR="006A7F97" w:rsidRPr="00CE3210" w:rsidRDefault="007605B6" w:rsidP="00B93F1B">
            <w:pPr>
              <w:rPr>
                <w:rFonts w:cs="Tahoma"/>
              </w:rPr>
            </w:pPr>
            <w:r w:rsidRPr="00CE3210">
              <w:rPr>
                <w:rFonts w:ascii="Segoe UI Symbol" w:eastAsia="MS Gothic" w:hAnsi="Segoe UI Symbol" w:cs="Segoe UI Symbol"/>
              </w:rPr>
              <w:t>☐</w:t>
            </w:r>
          </w:p>
        </w:tc>
        <w:tc>
          <w:tcPr>
            <w:tcW w:w="1438" w:type="dxa"/>
          </w:tcPr>
          <w:p w14:paraId="4198F5BD" w14:textId="56C40BC4" w:rsidR="006A7F97" w:rsidRPr="00CE3210" w:rsidRDefault="00290981" w:rsidP="00B93F1B">
            <w:pPr>
              <w:rPr>
                <w:rFonts w:cs="Tahoma"/>
              </w:rPr>
            </w:pPr>
            <w:r>
              <w:rPr>
                <w:rFonts w:ascii="Segoe UI Symbol" w:eastAsia="MS Gothic" w:hAnsi="Segoe UI Symbol" w:cs="Segoe UI Symbol"/>
              </w:rPr>
              <w:t>x</w:t>
            </w:r>
          </w:p>
        </w:tc>
        <w:tc>
          <w:tcPr>
            <w:tcW w:w="1525" w:type="dxa"/>
          </w:tcPr>
          <w:p w14:paraId="241824E2" w14:textId="08F0CD18" w:rsidR="006A7F97" w:rsidRPr="00CE3210" w:rsidRDefault="007605B6" w:rsidP="00B93F1B">
            <w:pPr>
              <w:rPr>
                <w:rFonts w:cs="Tahoma"/>
              </w:rPr>
            </w:pPr>
            <w:r w:rsidRPr="00CE3210">
              <w:rPr>
                <w:rFonts w:ascii="Segoe UI Symbol" w:eastAsia="MS Gothic" w:hAnsi="Segoe UI Symbol" w:cs="Segoe UI Symbol"/>
              </w:rPr>
              <w:t>☐</w:t>
            </w:r>
          </w:p>
        </w:tc>
        <w:tc>
          <w:tcPr>
            <w:tcW w:w="1525" w:type="dxa"/>
          </w:tcPr>
          <w:p w14:paraId="4D4BC80B" w14:textId="0A1717A9" w:rsidR="006A7F97" w:rsidRPr="00CE3210" w:rsidRDefault="007605B6" w:rsidP="00B93F1B">
            <w:pPr>
              <w:rPr>
                <w:rFonts w:cs="Tahoma"/>
              </w:rPr>
            </w:pPr>
            <w:r w:rsidRPr="00CE3210">
              <w:rPr>
                <w:rFonts w:ascii="Segoe UI Symbol" w:eastAsia="MS Gothic" w:hAnsi="Segoe UI Symbol" w:cs="Segoe UI Symbol"/>
              </w:rPr>
              <w:t>☐</w:t>
            </w:r>
          </w:p>
        </w:tc>
        <w:tc>
          <w:tcPr>
            <w:tcW w:w="1428" w:type="dxa"/>
          </w:tcPr>
          <w:p w14:paraId="6F4634F2" w14:textId="1A84B959" w:rsidR="006A7F97" w:rsidRPr="00CE3210" w:rsidRDefault="007605B6" w:rsidP="00B93F1B">
            <w:pPr>
              <w:rPr>
                <w:rFonts w:cs="Tahoma"/>
              </w:rPr>
            </w:pPr>
            <w:r w:rsidRPr="00CE3210">
              <w:rPr>
                <w:rFonts w:ascii="Segoe UI Symbol" w:eastAsia="MS Gothic" w:hAnsi="Segoe UI Symbol" w:cs="Segoe UI Symbol"/>
              </w:rPr>
              <w:t>☐</w:t>
            </w:r>
          </w:p>
        </w:tc>
      </w:tr>
      <w:tr w:rsidR="006A7F97" w:rsidRPr="0011618E" w14:paraId="49287BC4" w14:textId="77777777" w:rsidTr="00B93F1B">
        <w:tc>
          <w:tcPr>
            <w:tcW w:w="2440" w:type="dxa"/>
          </w:tcPr>
          <w:p w14:paraId="481F34D7" w14:textId="77777777" w:rsidR="006A7F97" w:rsidRPr="0011618E" w:rsidRDefault="006A7F97">
            <w:pPr>
              <w:pStyle w:val="GMCA-Ztext"/>
              <w:numPr>
                <w:ilvl w:val="0"/>
                <w:numId w:val="14"/>
              </w:numPr>
            </w:pPr>
            <w:r w:rsidRPr="0011618E">
              <w:t>The amended duties are clear.</w:t>
            </w:r>
          </w:p>
        </w:tc>
        <w:tc>
          <w:tcPr>
            <w:tcW w:w="1509" w:type="dxa"/>
          </w:tcPr>
          <w:p w14:paraId="703AE635" w14:textId="353A8C79" w:rsidR="006A7F97" w:rsidRPr="00CE3210" w:rsidRDefault="007605B6" w:rsidP="00B93F1B">
            <w:pPr>
              <w:rPr>
                <w:rFonts w:cs="Tahoma"/>
              </w:rPr>
            </w:pPr>
            <w:r w:rsidRPr="00CE3210">
              <w:rPr>
                <w:rFonts w:ascii="Segoe UI Symbol" w:eastAsia="MS Gothic" w:hAnsi="Segoe UI Symbol" w:cs="Segoe UI Symbol"/>
              </w:rPr>
              <w:t>☐</w:t>
            </w:r>
          </w:p>
        </w:tc>
        <w:tc>
          <w:tcPr>
            <w:tcW w:w="1438" w:type="dxa"/>
          </w:tcPr>
          <w:p w14:paraId="1E9E71BF" w14:textId="4E4B1496" w:rsidR="006A7F97" w:rsidRPr="00CE3210" w:rsidRDefault="00290981" w:rsidP="00B93F1B">
            <w:pPr>
              <w:rPr>
                <w:rFonts w:cs="Tahoma"/>
              </w:rPr>
            </w:pPr>
            <w:r>
              <w:rPr>
                <w:rFonts w:ascii="Segoe UI Symbol" w:eastAsia="MS Gothic" w:hAnsi="Segoe UI Symbol" w:cs="Segoe UI Symbol"/>
              </w:rPr>
              <w:t>x</w:t>
            </w:r>
          </w:p>
        </w:tc>
        <w:tc>
          <w:tcPr>
            <w:tcW w:w="1525" w:type="dxa"/>
          </w:tcPr>
          <w:p w14:paraId="3F7E74D8" w14:textId="538B8915" w:rsidR="006A7F97" w:rsidRPr="00CE3210" w:rsidRDefault="007605B6" w:rsidP="00B93F1B">
            <w:pPr>
              <w:rPr>
                <w:rFonts w:cs="Tahoma"/>
              </w:rPr>
            </w:pPr>
            <w:r w:rsidRPr="00CE3210">
              <w:rPr>
                <w:rFonts w:ascii="Segoe UI Symbol" w:eastAsia="MS Gothic" w:hAnsi="Segoe UI Symbol" w:cs="Segoe UI Symbol"/>
              </w:rPr>
              <w:t>☐</w:t>
            </w:r>
          </w:p>
        </w:tc>
        <w:tc>
          <w:tcPr>
            <w:tcW w:w="1525" w:type="dxa"/>
          </w:tcPr>
          <w:p w14:paraId="71554EBE" w14:textId="0BC38564" w:rsidR="006A7F97" w:rsidRPr="00CE3210" w:rsidRDefault="007605B6" w:rsidP="00B93F1B">
            <w:pPr>
              <w:rPr>
                <w:rFonts w:cs="Tahoma"/>
              </w:rPr>
            </w:pPr>
            <w:r w:rsidRPr="00CE3210">
              <w:rPr>
                <w:rFonts w:ascii="Segoe UI Symbol" w:eastAsia="MS Gothic" w:hAnsi="Segoe UI Symbol" w:cs="Segoe UI Symbol"/>
              </w:rPr>
              <w:t>☐</w:t>
            </w:r>
          </w:p>
        </w:tc>
        <w:tc>
          <w:tcPr>
            <w:tcW w:w="1428" w:type="dxa"/>
          </w:tcPr>
          <w:p w14:paraId="70BACBC7" w14:textId="173EE3D7" w:rsidR="006A7F97" w:rsidRPr="00CE3210" w:rsidRDefault="007605B6" w:rsidP="00B93F1B">
            <w:pPr>
              <w:rPr>
                <w:rFonts w:cs="Tahoma"/>
              </w:rPr>
            </w:pPr>
            <w:r w:rsidRPr="00CE3210">
              <w:rPr>
                <w:rFonts w:ascii="Segoe UI Symbol" w:eastAsia="MS Gothic" w:hAnsi="Segoe UI Symbol" w:cs="Segoe UI Symbol"/>
              </w:rPr>
              <w:t>☐</w:t>
            </w:r>
          </w:p>
        </w:tc>
      </w:tr>
      <w:tr w:rsidR="006A7F97" w14:paraId="68FD2A47" w14:textId="77777777" w:rsidTr="00B93F1B">
        <w:tc>
          <w:tcPr>
            <w:tcW w:w="2440" w:type="dxa"/>
          </w:tcPr>
          <w:p w14:paraId="3120EC64" w14:textId="77777777" w:rsidR="006A7F97" w:rsidRPr="0011618E" w:rsidRDefault="006A7F97">
            <w:pPr>
              <w:pStyle w:val="GMCA-Ztext"/>
              <w:numPr>
                <w:ilvl w:val="0"/>
                <w:numId w:val="14"/>
              </w:numPr>
            </w:pPr>
            <w:r w:rsidRPr="0011618E">
              <w:t>The amended duties are realistic.</w:t>
            </w:r>
          </w:p>
        </w:tc>
        <w:tc>
          <w:tcPr>
            <w:tcW w:w="1509" w:type="dxa"/>
          </w:tcPr>
          <w:p w14:paraId="5719782A" w14:textId="1B6E86A0" w:rsidR="006A7F97" w:rsidRPr="00CE3210" w:rsidRDefault="007605B6" w:rsidP="00B93F1B">
            <w:pPr>
              <w:rPr>
                <w:rFonts w:cs="Tahoma"/>
              </w:rPr>
            </w:pPr>
            <w:r w:rsidRPr="00CE3210">
              <w:rPr>
                <w:rFonts w:ascii="Segoe UI Symbol" w:eastAsia="MS Gothic" w:hAnsi="Segoe UI Symbol" w:cs="Segoe UI Symbol"/>
              </w:rPr>
              <w:t>☐</w:t>
            </w:r>
          </w:p>
        </w:tc>
        <w:tc>
          <w:tcPr>
            <w:tcW w:w="1438" w:type="dxa"/>
          </w:tcPr>
          <w:p w14:paraId="0723DA2C" w14:textId="631813B3" w:rsidR="006A7F97" w:rsidRPr="00CE3210" w:rsidRDefault="00290981" w:rsidP="00B93F1B">
            <w:pPr>
              <w:rPr>
                <w:rFonts w:cs="Tahoma"/>
              </w:rPr>
            </w:pPr>
            <w:r>
              <w:rPr>
                <w:rFonts w:ascii="Segoe UI Symbol" w:eastAsia="MS Gothic" w:hAnsi="Segoe UI Symbol" w:cs="Segoe UI Symbol"/>
              </w:rPr>
              <w:t>x</w:t>
            </w:r>
          </w:p>
        </w:tc>
        <w:tc>
          <w:tcPr>
            <w:tcW w:w="1525" w:type="dxa"/>
          </w:tcPr>
          <w:p w14:paraId="05758794" w14:textId="48AFDEE7" w:rsidR="006A7F97" w:rsidRPr="00CE3210" w:rsidRDefault="007605B6" w:rsidP="00B93F1B">
            <w:pPr>
              <w:rPr>
                <w:rFonts w:cs="Tahoma"/>
              </w:rPr>
            </w:pPr>
            <w:r w:rsidRPr="00CE3210">
              <w:rPr>
                <w:rFonts w:ascii="Segoe UI Symbol" w:eastAsia="MS Gothic" w:hAnsi="Segoe UI Symbol" w:cs="Segoe UI Symbol"/>
              </w:rPr>
              <w:t>☐</w:t>
            </w:r>
          </w:p>
        </w:tc>
        <w:tc>
          <w:tcPr>
            <w:tcW w:w="1525" w:type="dxa"/>
          </w:tcPr>
          <w:p w14:paraId="08DEF815" w14:textId="36FD1E79" w:rsidR="006A7F97" w:rsidRPr="00CE3210" w:rsidRDefault="007605B6" w:rsidP="00B93F1B">
            <w:pPr>
              <w:rPr>
                <w:rFonts w:cs="Tahoma"/>
              </w:rPr>
            </w:pPr>
            <w:r w:rsidRPr="00CE3210">
              <w:rPr>
                <w:rFonts w:ascii="Segoe UI Symbol" w:eastAsia="MS Gothic" w:hAnsi="Segoe UI Symbol" w:cs="Segoe UI Symbol"/>
              </w:rPr>
              <w:t>☐</w:t>
            </w:r>
          </w:p>
        </w:tc>
        <w:tc>
          <w:tcPr>
            <w:tcW w:w="1428" w:type="dxa"/>
          </w:tcPr>
          <w:p w14:paraId="6CE003C2" w14:textId="7D812ADE" w:rsidR="006A7F97" w:rsidRPr="00CE3210" w:rsidRDefault="007605B6" w:rsidP="00B93F1B">
            <w:pPr>
              <w:rPr>
                <w:rFonts w:cs="Tahoma"/>
              </w:rPr>
            </w:pPr>
            <w:r w:rsidRPr="00CE3210">
              <w:rPr>
                <w:rFonts w:ascii="Segoe UI Symbol" w:eastAsia="MS Gothic" w:hAnsi="Segoe UI Symbol" w:cs="Segoe UI Symbol"/>
              </w:rPr>
              <w:t>☐</w:t>
            </w:r>
          </w:p>
        </w:tc>
      </w:tr>
    </w:tbl>
    <w:p w14:paraId="534BC8EC" w14:textId="77777777" w:rsidR="006A7F97" w:rsidRPr="00446E9B" w:rsidRDefault="006A7F97" w:rsidP="006A7F97"/>
    <w:p w14:paraId="1D67EB7D" w14:textId="77777777" w:rsidR="006A7F97" w:rsidRDefault="006A7F97" w:rsidP="006A7F97">
      <w:pPr>
        <w:pStyle w:val="GMCNormalBold"/>
      </w:pPr>
      <w:r w:rsidRPr="0096237E">
        <w:t>We’d also welcome any other feedback including</w:t>
      </w:r>
      <w:r>
        <w:t>,</w:t>
      </w:r>
      <w:r w:rsidRPr="0096237E">
        <w:t xml:space="preserve"> for example, whether the amended guidance could apply to all medical professionals and whether there could be any unintended consequences arising from it.</w:t>
      </w:r>
    </w:p>
    <w:p w14:paraId="36C1E783" w14:textId="77777777" w:rsidR="006A7F97" w:rsidRPr="00A3786B" w:rsidRDefault="2CD62766" w:rsidP="006A7F97">
      <w:pPr>
        <w:pStyle w:val="GMCNumbertext"/>
        <w:numPr>
          <w:ilvl w:val="0"/>
          <w:numId w:val="1"/>
        </w:numPr>
      </w:pPr>
      <w:r>
        <w:t>Comments on theme four</w:t>
      </w:r>
    </w:p>
    <w:tbl>
      <w:tblPr>
        <w:tblStyle w:val="TableGrid"/>
        <w:tblW w:w="0" w:type="auto"/>
        <w:tblLook w:val="04A0" w:firstRow="1" w:lastRow="0" w:firstColumn="1" w:lastColumn="0" w:noHBand="0" w:noVBand="1"/>
      </w:tblPr>
      <w:tblGrid>
        <w:gridCol w:w="9629"/>
      </w:tblGrid>
      <w:tr w:rsidR="006A7F97" w14:paraId="1F237239" w14:textId="77777777" w:rsidTr="00B93F1B">
        <w:tc>
          <w:tcPr>
            <w:tcW w:w="9629" w:type="dxa"/>
          </w:tcPr>
          <w:p w14:paraId="57EF3C5A" w14:textId="7B30F280" w:rsidR="00274A94" w:rsidRPr="00274A94" w:rsidRDefault="00274A94" w:rsidP="00274A94">
            <w:r w:rsidRPr="003E5026">
              <w:t xml:space="preserve">Paragraph 62: </w:t>
            </w:r>
            <w:r w:rsidRPr="00946CFD">
              <w:t>This aligns with increasing awareness of the importance of Equality, Diversity and Inclusion (EDI) in the working environment, including pharmaceutical companies</w:t>
            </w:r>
            <w:r>
              <w:t xml:space="preserve"> and other organisations employing pharmaceutical physicians</w:t>
            </w:r>
            <w:r w:rsidRPr="00946CFD">
              <w:t xml:space="preserve">. </w:t>
            </w:r>
            <w:r>
              <w:t>It also p</w:t>
            </w:r>
            <w:r w:rsidRPr="00946CFD">
              <w:t xml:space="preserve">oints to a role for the physician in </w:t>
            </w:r>
            <w:r>
              <w:t>shaping the culture</w:t>
            </w:r>
            <w:r w:rsidRPr="00946CFD">
              <w:t xml:space="preserve"> within a </w:t>
            </w:r>
            <w:r>
              <w:t>team, such as the pharmaceutical physician within a pharmaceutical company</w:t>
            </w:r>
            <w:r w:rsidR="00592DCD">
              <w:t>,</w:t>
            </w:r>
            <w:r>
              <w:t xml:space="preserve"> and equally applies to the doctor in a clinical team, regardless of whether the leadership role is formal</w:t>
            </w:r>
            <w:r w:rsidRPr="00946CFD">
              <w:t xml:space="preserve">. </w:t>
            </w:r>
            <w:r>
              <w:t>Addition of this important role to the guidance should be considered.</w:t>
            </w:r>
          </w:p>
          <w:p w14:paraId="0FEB1BDF" w14:textId="77777777" w:rsidR="00274A94" w:rsidRDefault="00274A94" w:rsidP="00274A94">
            <w:r w:rsidRPr="003E5026">
              <w:lastRenderedPageBreak/>
              <w:t xml:space="preserve">Paragraph 65: </w:t>
            </w:r>
            <w:r>
              <w:t>We n</w:t>
            </w:r>
            <w:r w:rsidRPr="00364520">
              <w:t xml:space="preserve">ote </w:t>
            </w:r>
            <w:r>
              <w:t xml:space="preserve">the </w:t>
            </w:r>
            <w:r w:rsidRPr="00364520">
              <w:t>reference beyond individual patients to the wider population and this align</w:t>
            </w:r>
            <w:r>
              <w:t>s well</w:t>
            </w:r>
            <w:r w:rsidRPr="00364520">
              <w:t xml:space="preserve"> with </w:t>
            </w:r>
            <w:r>
              <w:t xml:space="preserve">important principles of </w:t>
            </w:r>
            <w:r w:rsidRPr="00364520">
              <w:t xml:space="preserve">social justice </w:t>
            </w:r>
            <w:r>
              <w:t>and public health, such as equal</w:t>
            </w:r>
            <w:r w:rsidRPr="00364520">
              <w:t xml:space="preserve"> access to medicine</w:t>
            </w:r>
            <w:r>
              <w:t>s</w:t>
            </w:r>
            <w:r w:rsidRPr="00364520">
              <w:t>.</w:t>
            </w:r>
          </w:p>
          <w:p w14:paraId="0EDBBE62" w14:textId="4998EA6A" w:rsidR="006A7F97" w:rsidRDefault="00274A94" w:rsidP="00274A94">
            <w:pPr>
              <w:rPr>
                <w:highlight w:val="yellow"/>
              </w:rPr>
            </w:pPr>
            <w:r>
              <w:t>As previously commented on with regard to working effectively with colleagues this may be another opportunity to suggest that within a team the medical professional should demonstrate leadership by example with regard to ethical practice that incorporates honesty and integrity.</w:t>
            </w:r>
          </w:p>
        </w:tc>
      </w:tr>
    </w:tbl>
    <w:p w14:paraId="158EF9E6" w14:textId="57291876" w:rsidR="006A7F97" w:rsidRDefault="006A7F97" w:rsidP="008B0C91">
      <w:pPr>
        <w:rPr>
          <w:bCs/>
          <w:iCs/>
          <w:color w:val="00377B"/>
          <w:kern w:val="32"/>
          <w:sz w:val="32"/>
          <w:szCs w:val="28"/>
        </w:rPr>
      </w:pPr>
    </w:p>
    <w:p w14:paraId="5E9C3D1C" w14:textId="77777777" w:rsidR="006A7F97" w:rsidRDefault="006A7F97">
      <w:pPr>
        <w:spacing w:after="0" w:line="240" w:lineRule="auto"/>
        <w:rPr>
          <w:bCs/>
          <w:iCs/>
          <w:color w:val="00377B"/>
          <w:kern w:val="32"/>
          <w:sz w:val="32"/>
          <w:szCs w:val="28"/>
        </w:rPr>
      </w:pPr>
      <w:r>
        <w:rPr>
          <w:bCs/>
          <w:iCs/>
          <w:color w:val="00377B"/>
          <w:kern w:val="32"/>
          <w:sz w:val="32"/>
          <w:szCs w:val="28"/>
        </w:rPr>
        <w:br w:type="page"/>
      </w:r>
    </w:p>
    <w:p w14:paraId="2AE137A3" w14:textId="77777777" w:rsidR="006A7F97" w:rsidRDefault="006A7F97" w:rsidP="006A7F97">
      <w:pPr>
        <w:pStyle w:val="Heading1"/>
      </w:pPr>
      <w:bookmarkStart w:id="16" w:name="_Hlk90311444"/>
      <w:r>
        <w:lastRenderedPageBreak/>
        <w:t xml:space="preserve">Other themes </w:t>
      </w:r>
    </w:p>
    <w:p w14:paraId="1D20213D" w14:textId="77777777" w:rsidR="006A7F97" w:rsidRDefault="006A7F97" w:rsidP="006A7F97">
      <w:pPr>
        <w:pStyle w:val="Heading2"/>
      </w:pPr>
      <w:r>
        <w:t>Technology and Artificial intelligence (AI)</w:t>
      </w:r>
      <w:r w:rsidRPr="006B6885">
        <w:t xml:space="preserve"> </w:t>
      </w:r>
    </w:p>
    <w:p w14:paraId="74A7DD66" w14:textId="77777777" w:rsidR="006A7F97" w:rsidRPr="00E334B5" w:rsidRDefault="006A7F97" w:rsidP="006A7F97">
      <w:r w:rsidRPr="00E334B5">
        <w:t>We’re considering whether there’s a need to include new guidance on technology and AI, given the speed of technological developments in healthcare and the need for GMP to be relevant for years to come.</w:t>
      </w:r>
    </w:p>
    <w:p w14:paraId="66E593C1" w14:textId="77777777" w:rsidR="006A7F97" w:rsidRPr="00E334B5" w:rsidRDefault="006A7F97" w:rsidP="006A7F97">
      <w:pPr>
        <w:rPr>
          <w:lang w:val="en"/>
        </w:rPr>
      </w:pPr>
      <w:r w:rsidRPr="00E334B5">
        <w:t xml:space="preserve">We’ve included </w:t>
      </w:r>
      <w:r w:rsidRPr="00E334B5">
        <w:rPr>
          <w:lang w:val="en"/>
        </w:rPr>
        <w:t xml:space="preserve">software, diagnostic tests and apps in the definition of medical devices at paragraph 17b to align with the definitions used by the Medicines and Healthcare products Regulatory Agency (we’ve asked for your feedback on this later in the survey). </w:t>
      </w:r>
    </w:p>
    <w:p w14:paraId="10623D24" w14:textId="77777777" w:rsidR="006A7F97" w:rsidRPr="00E334B5" w:rsidRDefault="006A7F97" w:rsidP="006A7F97">
      <w:pPr>
        <w:rPr>
          <w:lang w:val="en"/>
        </w:rPr>
      </w:pPr>
      <w:r w:rsidRPr="00E334B5">
        <w:rPr>
          <w:lang w:val="en"/>
        </w:rPr>
        <w:t>But we’d be interested in views on whether we should go further than this and create specific duties in relation to how medical professionals use AI and technology (keeping in mind that the high-level principles in our guidance apply to all forms of healthcare).</w:t>
      </w:r>
    </w:p>
    <w:p w14:paraId="23D04261" w14:textId="77777777" w:rsidR="006A7F97" w:rsidRDefault="006A7F97" w:rsidP="006A7F97">
      <w:r w:rsidRPr="00E334B5">
        <w:t>For example, if there is bias in the underlying data used by AI to make decisions about</w:t>
      </w:r>
      <w:r>
        <w:t xml:space="preserve"> patient care, this could reinforce inequalities in healthcare for people who share protected characteristics. We could warn medical professionals to be vigilant with such technology, and to exercise judgement when relying on its outputs.</w:t>
      </w:r>
    </w:p>
    <w:p w14:paraId="078F54D7" w14:textId="77777777" w:rsidR="006A7F97" w:rsidRPr="00776CC6" w:rsidRDefault="5305D027" w:rsidP="00E334B5">
      <w:pPr>
        <w:pStyle w:val="GMCNumbertext"/>
      </w:pPr>
      <w:r>
        <w:t xml:space="preserve">How far do you agree or disagree that GMP should include duties on using technology and AI? </w:t>
      </w:r>
    </w:p>
    <w:tbl>
      <w:tblPr>
        <w:tblStyle w:val="TableGrid"/>
        <w:tblW w:w="7582" w:type="dxa"/>
        <w:tblLook w:val="04A0" w:firstRow="1" w:lastRow="0" w:firstColumn="1" w:lastColumn="0" w:noHBand="0" w:noVBand="1"/>
      </w:tblPr>
      <w:tblGrid>
        <w:gridCol w:w="1534"/>
        <w:gridCol w:w="1482"/>
        <w:gridCol w:w="1546"/>
        <w:gridCol w:w="1546"/>
        <w:gridCol w:w="1474"/>
      </w:tblGrid>
      <w:tr w:rsidR="006A7F97" w:rsidRPr="0011618E" w14:paraId="4CECCE35" w14:textId="77777777" w:rsidTr="00B93F1B">
        <w:tc>
          <w:tcPr>
            <w:tcW w:w="1534" w:type="dxa"/>
          </w:tcPr>
          <w:p w14:paraId="20B6682A" w14:textId="259D1A3F" w:rsidR="006A7F97" w:rsidRPr="0011618E" w:rsidRDefault="00FD4066" w:rsidP="00B93F1B">
            <w:pPr>
              <w:rPr>
                <w:b/>
                <w:bCs/>
              </w:rPr>
            </w:pPr>
            <w:r>
              <w:rPr>
                <w:b/>
                <w:bCs/>
              </w:rPr>
              <w:t>S</w:t>
            </w:r>
            <w:r w:rsidR="006A7F97" w:rsidRPr="0011618E">
              <w:rPr>
                <w:b/>
                <w:bCs/>
              </w:rPr>
              <w:t>trongly</w:t>
            </w:r>
            <w:r>
              <w:rPr>
                <w:b/>
                <w:bCs/>
              </w:rPr>
              <w:t xml:space="preserve"> agree </w:t>
            </w:r>
          </w:p>
        </w:tc>
        <w:tc>
          <w:tcPr>
            <w:tcW w:w="1482" w:type="dxa"/>
          </w:tcPr>
          <w:p w14:paraId="10C6E59B" w14:textId="77777777" w:rsidR="006A7F97" w:rsidRPr="0011618E" w:rsidRDefault="006A7F97" w:rsidP="00B93F1B">
            <w:pPr>
              <w:rPr>
                <w:b/>
                <w:bCs/>
              </w:rPr>
            </w:pPr>
            <w:r w:rsidRPr="0011618E">
              <w:rPr>
                <w:b/>
                <w:bCs/>
              </w:rPr>
              <w:t>Agree</w:t>
            </w:r>
          </w:p>
        </w:tc>
        <w:tc>
          <w:tcPr>
            <w:tcW w:w="1546" w:type="dxa"/>
          </w:tcPr>
          <w:p w14:paraId="396336B0" w14:textId="77777777" w:rsidR="006A7F97" w:rsidRPr="0011618E" w:rsidRDefault="006A7F97" w:rsidP="00B93F1B">
            <w:pPr>
              <w:rPr>
                <w:b/>
                <w:bCs/>
              </w:rPr>
            </w:pPr>
            <w:r w:rsidRPr="0011618E">
              <w:rPr>
                <w:b/>
                <w:bCs/>
              </w:rPr>
              <w:t xml:space="preserve">Disagree </w:t>
            </w:r>
          </w:p>
        </w:tc>
        <w:tc>
          <w:tcPr>
            <w:tcW w:w="1546" w:type="dxa"/>
          </w:tcPr>
          <w:p w14:paraId="2E35CD70" w14:textId="21A7D98C" w:rsidR="006A7F97" w:rsidRPr="0011618E" w:rsidRDefault="00FD4066" w:rsidP="00B93F1B">
            <w:pPr>
              <w:rPr>
                <w:b/>
                <w:bCs/>
              </w:rPr>
            </w:pPr>
            <w:r>
              <w:rPr>
                <w:b/>
                <w:bCs/>
              </w:rPr>
              <w:t>S</w:t>
            </w:r>
            <w:r w:rsidR="006A7F97" w:rsidRPr="0011618E">
              <w:rPr>
                <w:b/>
                <w:bCs/>
              </w:rPr>
              <w:t>trongly</w:t>
            </w:r>
            <w:r>
              <w:rPr>
                <w:b/>
                <w:bCs/>
              </w:rPr>
              <w:t xml:space="preserve"> disagree </w:t>
            </w:r>
          </w:p>
        </w:tc>
        <w:tc>
          <w:tcPr>
            <w:tcW w:w="1474" w:type="dxa"/>
          </w:tcPr>
          <w:p w14:paraId="611710CF" w14:textId="77777777" w:rsidR="006A7F97" w:rsidRPr="0011618E" w:rsidRDefault="006A7F97" w:rsidP="00B93F1B">
            <w:pPr>
              <w:rPr>
                <w:b/>
                <w:bCs/>
              </w:rPr>
            </w:pPr>
            <w:r w:rsidRPr="0011618E">
              <w:rPr>
                <w:b/>
                <w:bCs/>
              </w:rPr>
              <w:t>Don’t know</w:t>
            </w:r>
          </w:p>
        </w:tc>
      </w:tr>
      <w:tr w:rsidR="006A7F97" w:rsidRPr="0011618E" w14:paraId="67128079" w14:textId="77777777" w:rsidTr="00B93F1B">
        <w:tc>
          <w:tcPr>
            <w:tcW w:w="1534" w:type="dxa"/>
          </w:tcPr>
          <w:p w14:paraId="33AFAE82" w14:textId="597FEB26" w:rsidR="006A7F97" w:rsidRPr="00CE3210" w:rsidRDefault="007605B6" w:rsidP="00B93F1B">
            <w:pPr>
              <w:rPr>
                <w:rFonts w:cs="Tahoma"/>
                <w:b/>
                <w:bCs/>
              </w:rPr>
            </w:pPr>
            <w:r w:rsidRPr="00CE3210">
              <w:rPr>
                <w:rFonts w:ascii="Segoe UI Symbol" w:eastAsia="MS Gothic" w:hAnsi="Segoe UI Symbol" w:cs="Segoe UI Symbol"/>
                <w:b/>
                <w:bCs/>
              </w:rPr>
              <w:t>☐</w:t>
            </w:r>
          </w:p>
        </w:tc>
        <w:tc>
          <w:tcPr>
            <w:tcW w:w="1482" w:type="dxa"/>
          </w:tcPr>
          <w:p w14:paraId="75C6703D" w14:textId="6222B514" w:rsidR="006A7F97" w:rsidRPr="00CE3210" w:rsidRDefault="00546B2C" w:rsidP="00B93F1B">
            <w:pPr>
              <w:rPr>
                <w:rFonts w:cs="Tahoma"/>
                <w:b/>
                <w:bCs/>
              </w:rPr>
            </w:pPr>
            <w:r>
              <w:rPr>
                <w:rFonts w:ascii="Segoe UI Symbol" w:eastAsia="MS Gothic" w:hAnsi="Segoe UI Symbol" w:cs="Segoe UI Symbol"/>
                <w:b/>
                <w:bCs/>
              </w:rPr>
              <w:t>x</w:t>
            </w:r>
          </w:p>
        </w:tc>
        <w:tc>
          <w:tcPr>
            <w:tcW w:w="1546" w:type="dxa"/>
          </w:tcPr>
          <w:p w14:paraId="58CCCB25" w14:textId="55E66E4A" w:rsidR="006A7F97" w:rsidRPr="00CE3210" w:rsidRDefault="007605B6" w:rsidP="00B93F1B">
            <w:pPr>
              <w:rPr>
                <w:rFonts w:cs="Tahoma"/>
                <w:b/>
                <w:bCs/>
              </w:rPr>
            </w:pPr>
            <w:r w:rsidRPr="00CE3210">
              <w:rPr>
                <w:rFonts w:ascii="Segoe UI Symbol" w:eastAsia="MS Gothic" w:hAnsi="Segoe UI Symbol" w:cs="Segoe UI Symbol"/>
                <w:b/>
                <w:bCs/>
              </w:rPr>
              <w:t>☐</w:t>
            </w:r>
          </w:p>
        </w:tc>
        <w:tc>
          <w:tcPr>
            <w:tcW w:w="1546" w:type="dxa"/>
          </w:tcPr>
          <w:p w14:paraId="439A355D" w14:textId="6964EB1B" w:rsidR="006A7F97" w:rsidRPr="00CE3210" w:rsidRDefault="007605B6" w:rsidP="00B93F1B">
            <w:pPr>
              <w:rPr>
                <w:rFonts w:cs="Tahoma"/>
                <w:b/>
                <w:bCs/>
              </w:rPr>
            </w:pPr>
            <w:r w:rsidRPr="00CE3210">
              <w:rPr>
                <w:rFonts w:ascii="Segoe UI Symbol" w:eastAsia="MS Gothic" w:hAnsi="Segoe UI Symbol" w:cs="Segoe UI Symbol"/>
                <w:b/>
                <w:bCs/>
              </w:rPr>
              <w:t>☐</w:t>
            </w:r>
          </w:p>
        </w:tc>
        <w:tc>
          <w:tcPr>
            <w:tcW w:w="1474" w:type="dxa"/>
          </w:tcPr>
          <w:p w14:paraId="0DFE1258" w14:textId="3164CF9B" w:rsidR="006A7F97" w:rsidRPr="00CE3210" w:rsidRDefault="007605B6" w:rsidP="00B93F1B">
            <w:pPr>
              <w:rPr>
                <w:rFonts w:cs="Tahoma"/>
                <w:b/>
                <w:bCs/>
              </w:rPr>
            </w:pPr>
            <w:r w:rsidRPr="00CE3210">
              <w:rPr>
                <w:rFonts w:ascii="Segoe UI Symbol" w:eastAsia="MS Gothic" w:hAnsi="Segoe UI Symbol" w:cs="Segoe UI Symbol"/>
                <w:b/>
                <w:bCs/>
              </w:rPr>
              <w:t>☐</w:t>
            </w:r>
          </w:p>
        </w:tc>
      </w:tr>
    </w:tbl>
    <w:p w14:paraId="4BD79F3D" w14:textId="77777777" w:rsidR="006A7F97" w:rsidRDefault="006A7F97" w:rsidP="006A7F97">
      <w:pPr>
        <w:pStyle w:val="GMCNormalBold"/>
      </w:pPr>
    </w:p>
    <w:p w14:paraId="2A04B59D" w14:textId="77777777" w:rsidR="006A7F97" w:rsidRDefault="006A7F97" w:rsidP="006A7F97">
      <w:pPr>
        <w:pStyle w:val="GMCNormalBold"/>
      </w:pPr>
      <w:r w:rsidRPr="00446E9B">
        <w:t xml:space="preserve">Comments </w:t>
      </w:r>
      <w:r>
        <w:t>on technology and AI</w:t>
      </w:r>
    </w:p>
    <w:tbl>
      <w:tblPr>
        <w:tblStyle w:val="TableGrid"/>
        <w:tblW w:w="0" w:type="auto"/>
        <w:tblLook w:val="04A0" w:firstRow="1" w:lastRow="0" w:firstColumn="1" w:lastColumn="0" w:noHBand="0" w:noVBand="1"/>
      </w:tblPr>
      <w:tblGrid>
        <w:gridCol w:w="9629"/>
      </w:tblGrid>
      <w:tr w:rsidR="006A7F97" w14:paraId="53CAA9A3" w14:textId="77777777" w:rsidTr="5305D027">
        <w:tc>
          <w:tcPr>
            <w:tcW w:w="9629" w:type="dxa"/>
          </w:tcPr>
          <w:p w14:paraId="381F692A" w14:textId="0FD3EBE8" w:rsidR="00546B2C" w:rsidRDefault="00592DCD" w:rsidP="5305D027">
            <w:pPr>
              <w:rPr>
                <w:color w:val="000000" w:themeColor="text1"/>
              </w:rPr>
            </w:pPr>
            <w:r>
              <w:rPr>
                <w:color w:val="000000" w:themeColor="text1"/>
              </w:rPr>
              <w:t>FPM</w:t>
            </w:r>
            <w:r w:rsidR="00546B2C">
              <w:rPr>
                <w:color w:val="000000" w:themeColor="text1"/>
              </w:rPr>
              <w:t xml:space="preserve"> would agree that some general guidance on</w:t>
            </w:r>
            <w:r w:rsidR="00FC4E0D">
              <w:rPr>
                <w:color w:val="000000" w:themeColor="text1"/>
              </w:rPr>
              <w:t xml:space="preserve"> responding to rapidly evolving technological advances and considering any safety implications</w:t>
            </w:r>
            <w:r w:rsidR="00213C9D">
              <w:rPr>
                <w:color w:val="000000" w:themeColor="text1"/>
              </w:rPr>
              <w:t xml:space="preserve"> would be helpful</w:t>
            </w:r>
            <w:r w:rsidR="00FC4E0D">
              <w:rPr>
                <w:color w:val="000000" w:themeColor="text1"/>
              </w:rPr>
              <w:t>. AI might need a separate guidance document as there is such a broad range of issues to consider. As well as the potential for inherent bias being incorporated</w:t>
            </w:r>
            <w:r w:rsidR="001E3D9E">
              <w:rPr>
                <w:color w:val="000000" w:themeColor="text1"/>
              </w:rPr>
              <w:t>,</w:t>
            </w:r>
            <w:r w:rsidR="00FC4E0D">
              <w:rPr>
                <w:color w:val="000000" w:themeColor="text1"/>
              </w:rPr>
              <w:t xml:space="preserve"> due to the programming or the data set used to develop the program</w:t>
            </w:r>
            <w:r w:rsidR="007A3660">
              <w:rPr>
                <w:color w:val="000000" w:themeColor="text1"/>
              </w:rPr>
              <w:t>,</w:t>
            </w:r>
            <w:r w:rsidR="00FC4E0D">
              <w:rPr>
                <w:color w:val="000000" w:themeColor="text1"/>
              </w:rPr>
              <w:t xml:space="preserve"> there </w:t>
            </w:r>
            <w:r w:rsidR="00AB31BA">
              <w:rPr>
                <w:color w:val="000000" w:themeColor="text1"/>
              </w:rPr>
              <w:t>would need to be</w:t>
            </w:r>
            <w:r w:rsidR="00213C9D">
              <w:rPr>
                <w:color w:val="000000" w:themeColor="text1"/>
              </w:rPr>
              <w:t xml:space="preserve"> a reference to</w:t>
            </w:r>
            <w:r w:rsidR="00AB31BA">
              <w:rPr>
                <w:color w:val="000000" w:themeColor="text1"/>
              </w:rPr>
              <w:t xml:space="preserve"> risks associated with working with decision-</w:t>
            </w:r>
            <w:r w:rsidR="00B06A2B">
              <w:rPr>
                <w:color w:val="000000" w:themeColor="text1"/>
              </w:rPr>
              <w:t>support</w:t>
            </w:r>
            <w:r w:rsidR="00AB31BA">
              <w:rPr>
                <w:color w:val="000000" w:themeColor="text1"/>
              </w:rPr>
              <w:t xml:space="preserve"> software. The list is long and GMP may not be the best vehicle for this.</w:t>
            </w:r>
          </w:p>
          <w:p w14:paraId="72C6E84C" w14:textId="33A92EA1" w:rsidR="006A7F97" w:rsidRPr="00AB31BA" w:rsidRDefault="00AB31BA" w:rsidP="00B93F1B">
            <w:pPr>
              <w:rPr>
                <w:color w:val="000000" w:themeColor="text1"/>
              </w:rPr>
            </w:pPr>
            <w:r>
              <w:rPr>
                <w:color w:val="000000" w:themeColor="text1"/>
              </w:rPr>
              <w:t>We would</w:t>
            </w:r>
            <w:r w:rsidR="5305D027" w:rsidRPr="5305D027">
              <w:rPr>
                <w:color w:val="000000" w:themeColor="text1"/>
              </w:rPr>
              <w:t xml:space="preserve"> suggest that </w:t>
            </w:r>
            <w:r>
              <w:rPr>
                <w:color w:val="000000" w:themeColor="text1"/>
              </w:rPr>
              <w:t xml:space="preserve">guidance is included regarding </w:t>
            </w:r>
            <w:r w:rsidR="5305D027" w:rsidRPr="5305D027">
              <w:rPr>
                <w:color w:val="000000" w:themeColor="text1"/>
              </w:rPr>
              <w:t>be</w:t>
            </w:r>
            <w:r>
              <w:rPr>
                <w:color w:val="000000" w:themeColor="text1"/>
              </w:rPr>
              <w:t>ing</w:t>
            </w:r>
            <w:r w:rsidR="5305D027" w:rsidRPr="5305D027">
              <w:rPr>
                <w:color w:val="000000" w:themeColor="text1"/>
              </w:rPr>
              <w:t xml:space="preserve"> up</w:t>
            </w:r>
            <w:r w:rsidR="00213C9D">
              <w:rPr>
                <w:color w:val="000000" w:themeColor="text1"/>
              </w:rPr>
              <w:t>-</w:t>
            </w:r>
            <w:r w:rsidR="5305D027" w:rsidRPr="5305D027">
              <w:rPr>
                <w:color w:val="000000" w:themeColor="text1"/>
              </w:rPr>
              <w:t>to</w:t>
            </w:r>
            <w:r w:rsidR="00213C9D">
              <w:rPr>
                <w:color w:val="000000" w:themeColor="text1"/>
              </w:rPr>
              <w:t>-</w:t>
            </w:r>
            <w:r w:rsidR="5305D027" w:rsidRPr="5305D027">
              <w:rPr>
                <w:color w:val="000000" w:themeColor="text1"/>
              </w:rPr>
              <w:t xml:space="preserve">date with the limitations of diagnostic tests </w:t>
            </w:r>
            <w:r w:rsidR="00EC1405">
              <w:rPr>
                <w:color w:val="000000" w:themeColor="text1"/>
              </w:rPr>
              <w:t>that</w:t>
            </w:r>
            <w:r w:rsidR="00EC1405" w:rsidRPr="5305D027">
              <w:rPr>
                <w:color w:val="000000" w:themeColor="text1"/>
              </w:rPr>
              <w:t xml:space="preserve"> </w:t>
            </w:r>
            <w:r w:rsidR="5305D027" w:rsidRPr="5305D027">
              <w:rPr>
                <w:color w:val="000000" w:themeColor="text1"/>
              </w:rPr>
              <w:t xml:space="preserve">may </w:t>
            </w:r>
            <w:r w:rsidR="00EC1405">
              <w:rPr>
                <w:color w:val="000000" w:themeColor="text1"/>
              </w:rPr>
              <w:t xml:space="preserve">be </w:t>
            </w:r>
            <w:r w:rsidR="5305D027" w:rsidRPr="5305D027">
              <w:rPr>
                <w:color w:val="000000" w:themeColor="text1"/>
              </w:rPr>
              <w:t>use</w:t>
            </w:r>
            <w:r w:rsidR="00EC1405">
              <w:rPr>
                <w:color w:val="000000" w:themeColor="text1"/>
              </w:rPr>
              <w:t>d</w:t>
            </w:r>
            <w:r w:rsidR="5305D027" w:rsidRPr="5305D027">
              <w:rPr>
                <w:color w:val="000000" w:themeColor="text1"/>
              </w:rPr>
              <w:t xml:space="preserve"> and </w:t>
            </w:r>
            <w:r>
              <w:rPr>
                <w:color w:val="000000" w:themeColor="text1"/>
              </w:rPr>
              <w:t>the need to</w:t>
            </w:r>
            <w:r w:rsidR="5305D027" w:rsidRPr="5305D027">
              <w:rPr>
                <w:color w:val="000000" w:themeColor="text1"/>
              </w:rPr>
              <w:t xml:space="preserve"> be familiar with the pos</w:t>
            </w:r>
            <w:r>
              <w:rPr>
                <w:color w:val="000000" w:themeColor="text1"/>
              </w:rPr>
              <w:t>i</w:t>
            </w:r>
            <w:r w:rsidR="5305D027" w:rsidRPr="5305D027">
              <w:rPr>
                <w:color w:val="000000" w:themeColor="text1"/>
              </w:rPr>
              <w:t xml:space="preserve">tive and negative predictive values for the tests they may select for confirmation/management of illnesses. </w:t>
            </w:r>
          </w:p>
        </w:tc>
      </w:tr>
    </w:tbl>
    <w:p w14:paraId="20DAC023" w14:textId="5D24FA3B" w:rsidR="006A7F97" w:rsidRPr="00446E9B" w:rsidRDefault="006A7F97" w:rsidP="006A7F97"/>
    <w:p w14:paraId="0309C41A" w14:textId="77777777" w:rsidR="006A7F97" w:rsidRDefault="006A7F97" w:rsidP="006A7F97">
      <w:pPr>
        <w:pStyle w:val="Heading2"/>
      </w:pPr>
      <w:r>
        <w:t xml:space="preserve">Use of resources, population health and environmental sustainability </w:t>
      </w:r>
    </w:p>
    <w:p w14:paraId="28B4D491" w14:textId="77777777" w:rsidR="006A7F97" w:rsidRDefault="006A7F97" w:rsidP="006A7F97">
      <w:r>
        <w:t>We’re considering whether we need to introduce the concept of sustainability more explicitly into GMP, in response to calls for us to give more attention to the risk to public health arising from climate change.</w:t>
      </w:r>
    </w:p>
    <w:p w14:paraId="3C4B7E38" w14:textId="77777777" w:rsidR="006A7F97" w:rsidRDefault="006A7F97" w:rsidP="006A7F97">
      <w:r>
        <w:t xml:space="preserve">We’re also exploring whether we need to clearly acknowledge the tensions that can arise between the needs and expectations of individual patients and the interests of the wider population. </w:t>
      </w:r>
    </w:p>
    <w:p w14:paraId="3735F606" w14:textId="77777777" w:rsidR="006A7F97" w:rsidRDefault="006A7F97" w:rsidP="006A7F97">
      <w:r>
        <w:t xml:space="preserve">For example, as part of their roles medical professionals might need to: </w:t>
      </w:r>
    </w:p>
    <w:p w14:paraId="2C2C0931" w14:textId="77777777" w:rsidR="006A7F97" w:rsidRDefault="006A7F97">
      <w:pPr>
        <w:pStyle w:val="ListBullet"/>
        <w:numPr>
          <w:ilvl w:val="0"/>
          <w:numId w:val="3"/>
        </w:numPr>
      </w:pPr>
      <w:r>
        <w:t>balance individual and population interests in relation to efficient use of available resources (</w:t>
      </w:r>
      <w:proofErr w:type="gramStart"/>
      <w:r>
        <w:t>e.g.</w:t>
      </w:r>
      <w:proofErr w:type="gramEnd"/>
      <w:r>
        <w:t xml:space="preserve"> avoiding medicines waste)</w:t>
      </w:r>
    </w:p>
    <w:p w14:paraId="30695B71" w14:textId="77777777" w:rsidR="006A7F97" w:rsidRDefault="006A7F97">
      <w:pPr>
        <w:pStyle w:val="ListBullet"/>
        <w:numPr>
          <w:ilvl w:val="0"/>
          <w:numId w:val="3"/>
        </w:numPr>
      </w:pPr>
      <w:r>
        <w:t>consider the wider impact of healthcare activity on population health (</w:t>
      </w:r>
      <w:proofErr w:type="gramStart"/>
      <w:r>
        <w:t>e.g.</w:t>
      </w:r>
      <w:proofErr w:type="gramEnd"/>
      <w:r>
        <w:t xml:space="preserve"> antibiotic resistance) and on the environment (e.g. harm from single use plastics). </w:t>
      </w:r>
    </w:p>
    <w:p w14:paraId="54E5D232" w14:textId="77777777" w:rsidR="006A7F97" w:rsidRPr="00E334B5" w:rsidRDefault="006A7F97" w:rsidP="006A7F97">
      <w:r>
        <w:t>We currently say at paragraph 18 of GMP that doctors ‘</w:t>
      </w:r>
      <w:r w:rsidRPr="000811EA">
        <w:t>must make good use of the resources available to them’ and we</w:t>
      </w:r>
      <w:r>
        <w:t xml:space="preserve">’ve previously said that this </w:t>
      </w:r>
      <w:r w:rsidRPr="00EE7BDA">
        <w:t>would cover con</w:t>
      </w:r>
      <w:r>
        <w:t xml:space="preserve">siderations such as </w:t>
      </w:r>
      <w:r w:rsidRPr="00EE7BDA">
        <w:t>sustainability</w:t>
      </w:r>
      <w:r>
        <w:t xml:space="preserve">. The current ‘Duties of a doctor’ also says that doctors must ‘protect and promote the health of patients and </w:t>
      </w:r>
      <w:r w:rsidRPr="00E334B5">
        <w:t>the public’.</w:t>
      </w:r>
    </w:p>
    <w:p w14:paraId="0FBDA155" w14:textId="77777777" w:rsidR="006A7F97" w:rsidRPr="00E334B5" w:rsidRDefault="006A7F97" w:rsidP="006A7F97">
      <w:r w:rsidRPr="00E334B5">
        <w:t>We’re proposing to expand paragraph 18 (now paragraph 65) to say that medical professionals: ‘</w:t>
      </w:r>
      <w:r w:rsidRPr="00E334B5">
        <w:rPr>
          <w:b/>
          <w:bCs/>
        </w:rPr>
        <w:t>must provide the best service possible within the resources available, taking account of [their] responsibilities to patients, the wider population, and global health.’</w:t>
      </w:r>
    </w:p>
    <w:p w14:paraId="78E2F332" w14:textId="77777777" w:rsidR="006A7F97" w:rsidRDefault="006A7F97" w:rsidP="006A7F97">
      <w:r w:rsidRPr="00E334B5">
        <w:t xml:space="preserve">This incorporates elements of paragraph 85(1) of our </w:t>
      </w:r>
      <w:r w:rsidRPr="00E334B5">
        <w:rPr>
          <w:i/>
          <w:iCs/>
        </w:rPr>
        <w:t>Leadership and management</w:t>
      </w:r>
      <w:r w:rsidRPr="00E334B5">
        <w:t xml:space="preserve"> guidance to recognise that medical professionals can have dual responsibilities to patients and the wider population. We’ve introduced</w:t>
      </w:r>
      <w:r>
        <w:t xml:space="preserve"> the term ‘global health’ to recognise these considerations go beyond impacts within the UK. </w:t>
      </w:r>
    </w:p>
    <w:p w14:paraId="3598C3A5" w14:textId="77777777" w:rsidR="006A7F97" w:rsidRPr="00735C95" w:rsidRDefault="2CD62766" w:rsidP="006A7F97">
      <w:pPr>
        <w:pStyle w:val="GMCNumbertext"/>
        <w:numPr>
          <w:ilvl w:val="0"/>
          <w:numId w:val="1"/>
        </w:numPr>
      </w:pPr>
      <w:r>
        <w:t xml:space="preserve">How far do you agree or disagree that we should expand the duty on resources? </w:t>
      </w:r>
    </w:p>
    <w:tbl>
      <w:tblPr>
        <w:tblStyle w:val="TableGrid"/>
        <w:tblW w:w="7582" w:type="dxa"/>
        <w:tblLook w:val="04A0" w:firstRow="1" w:lastRow="0" w:firstColumn="1" w:lastColumn="0" w:noHBand="0" w:noVBand="1"/>
      </w:tblPr>
      <w:tblGrid>
        <w:gridCol w:w="1534"/>
        <w:gridCol w:w="1482"/>
        <w:gridCol w:w="1546"/>
        <w:gridCol w:w="1546"/>
        <w:gridCol w:w="1474"/>
      </w:tblGrid>
      <w:tr w:rsidR="006A7F97" w:rsidRPr="0011618E" w14:paraId="6B136AF2" w14:textId="77777777" w:rsidTr="00B93F1B">
        <w:tc>
          <w:tcPr>
            <w:tcW w:w="1534" w:type="dxa"/>
          </w:tcPr>
          <w:p w14:paraId="40965BCC" w14:textId="10D7C69D" w:rsidR="006A7F97" w:rsidRPr="0011618E" w:rsidRDefault="00FD4066" w:rsidP="00B93F1B">
            <w:pPr>
              <w:rPr>
                <w:b/>
                <w:bCs/>
              </w:rPr>
            </w:pPr>
            <w:r>
              <w:rPr>
                <w:b/>
                <w:bCs/>
              </w:rPr>
              <w:t>S</w:t>
            </w:r>
            <w:r w:rsidR="006A7F97" w:rsidRPr="0011618E">
              <w:rPr>
                <w:b/>
                <w:bCs/>
              </w:rPr>
              <w:t>trongly</w:t>
            </w:r>
            <w:r>
              <w:rPr>
                <w:b/>
                <w:bCs/>
              </w:rPr>
              <w:t xml:space="preserve"> agree </w:t>
            </w:r>
          </w:p>
        </w:tc>
        <w:tc>
          <w:tcPr>
            <w:tcW w:w="1482" w:type="dxa"/>
          </w:tcPr>
          <w:p w14:paraId="634C6631" w14:textId="77777777" w:rsidR="006A7F97" w:rsidRPr="0011618E" w:rsidRDefault="006A7F97" w:rsidP="00B93F1B">
            <w:pPr>
              <w:rPr>
                <w:b/>
                <w:bCs/>
              </w:rPr>
            </w:pPr>
            <w:r w:rsidRPr="0011618E">
              <w:rPr>
                <w:b/>
                <w:bCs/>
              </w:rPr>
              <w:t>Agree</w:t>
            </w:r>
          </w:p>
        </w:tc>
        <w:tc>
          <w:tcPr>
            <w:tcW w:w="1546" w:type="dxa"/>
          </w:tcPr>
          <w:p w14:paraId="04F951C7" w14:textId="77777777" w:rsidR="006A7F97" w:rsidRPr="0011618E" w:rsidRDefault="006A7F97" w:rsidP="00B93F1B">
            <w:pPr>
              <w:rPr>
                <w:b/>
                <w:bCs/>
              </w:rPr>
            </w:pPr>
            <w:r w:rsidRPr="0011618E">
              <w:rPr>
                <w:b/>
                <w:bCs/>
              </w:rPr>
              <w:t xml:space="preserve">Disagree </w:t>
            </w:r>
          </w:p>
        </w:tc>
        <w:tc>
          <w:tcPr>
            <w:tcW w:w="1546" w:type="dxa"/>
          </w:tcPr>
          <w:p w14:paraId="6BC2E8F3" w14:textId="72B490AF" w:rsidR="006A7F97" w:rsidRPr="0011618E" w:rsidRDefault="00FD4066" w:rsidP="00B93F1B">
            <w:pPr>
              <w:rPr>
                <w:b/>
                <w:bCs/>
              </w:rPr>
            </w:pPr>
            <w:r>
              <w:rPr>
                <w:b/>
                <w:bCs/>
              </w:rPr>
              <w:t>S</w:t>
            </w:r>
            <w:r w:rsidR="006A7F97" w:rsidRPr="0011618E">
              <w:rPr>
                <w:b/>
                <w:bCs/>
              </w:rPr>
              <w:t>trongly</w:t>
            </w:r>
            <w:r>
              <w:rPr>
                <w:b/>
                <w:bCs/>
              </w:rPr>
              <w:t xml:space="preserve"> disagree </w:t>
            </w:r>
          </w:p>
        </w:tc>
        <w:tc>
          <w:tcPr>
            <w:tcW w:w="1474" w:type="dxa"/>
          </w:tcPr>
          <w:p w14:paraId="2F6FB22E" w14:textId="77777777" w:rsidR="006A7F97" w:rsidRPr="0011618E" w:rsidRDefault="006A7F97" w:rsidP="00B93F1B">
            <w:pPr>
              <w:rPr>
                <w:b/>
                <w:bCs/>
              </w:rPr>
            </w:pPr>
            <w:r w:rsidRPr="0011618E">
              <w:rPr>
                <w:b/>
                <w:bCs/>
              </w:rPr>
              <w:t>Don’t know</w:t>
            </w:r>
          </w:p>
        </w:tc>
      </w:tr>
      <w:tr w:rsidR="006A7F97" w:rsidRPr="0011618E" w14:paraId="02C581B3" w14:textId="77777777" w:rsidTr="00B93F1B">
        <w:tc>
          <w:tcPr>
            <w:tcW w:w="1534" w:type="dxa"/>
          </w:tcPr>
          <w:p w14:paraId="62FAB6C1" w14:textId="3C586EBB" w:rsidR="006A7F97" w:rsidRPr="00CE3210" w:rsidRDefault="007605B6" w:rsidP="00B93F1B">
            <w:pPr>
              <w:rPr>
                <w:rFonts w:cs="Tahoma"/>
                <w:b/>
                <w:bCs/>
              </w:rPr>
            </w:pPr>
            <w:r w:rsidRPr="00CE3210">
              <w:rPr>
                <w:rFonts w:ascii="Segoe UI Symbol" w:eastAsia="MS Gothic" w:hAnsi="Segoe UI Symbol" w:cs="Segoe UI Symbol"/>
                <w:b/>
                <w:bCs/>
              </w:rPr>
              <w:t>☐</w:t>
            </w:r>
          </w:p>
        </w:tc>
        <w:tc>
          <w:tcPr>
            <w:tcW w:w="1482" w:type="dxa"/>
          </w:tcPr>
          <w:p w14:paraId="4741F93B" w14:textId="6E498428" w:rsidR="006A7F97" w:rsidRPr="00CE3210" w:rsidRDefault="007C5E1B" w:rsidP="00B93F1B">
            <w:pPr>
              <w:rPr>
                <w:rFonts w:cs="Tahoma"/>
                <w:b/>
                <w:bCs/>
              </w:rPr>
            </w:pPr>
            <w:r>
              <w:rPr>
                <w:rFonts w:ascii="Segoe UI Symbol" w:eastAsia="MS Gothic" w:hAnsi="Segoe UI Symbol" w:cs="Segoe UI Symbol"/>
                <w:b/>
                <w:bCs/>
              </w:rPr>
              <w:t>x</w:t>
            </w:r>
          </w:p>
        </w:tc>
        <w:tc>
          <w:tcPr>
            <w:tcW w:w="1546" w:type="dxa"/>
          </w:tcPr>
          <w:p w14:paraId="49033495" w14:textId="5CA2A697" w:rsidR="006A7F97" w:rsidRPr="00CE3210" w:rsidRDefault="007605B6" w:rsidP="00B93F1B">
            <w:pPr>
              <w:rPr>
                <w:rFonts w:cs="Tahoma"/>
                <w:b/>
                <w:bCs/>
              </w:rPr>
            </w:pPr>
            <w:r w:rsidRPr="00CE3210">
              <w:rPr>
                <w:rFonts w:ascii="Segoe UI Symbol" w:eastAsia="MS Gothic" w:hAnsi="Segoe UI Symbol" w:cs="Segoe UI Symbol"/>
                <w:b/>
                <w:bCs/>
              </w:rPr>
              <w:t>☐</w:t>
            </w:r>
          </w:p>
        </w:tc>
        <w:tc>
          <w:tcPr>
            <w:tcW w:w="1546" w:type="dxa"/>
          </w:tcPr>
          <w:p w14:paraId="1B052467" w14:textId="29FE6CE4" w:rsidR="006A7F97" w:rsidRPr="00CE3210" w:rsidRDefault="007605B6" w:rsidP="00B93F1B">
            <w:pPr>
              <w:rPr>
                <w:rFonts w:cs="Tahoma"/>
                <w:b/>
                <w:bCs/>
              </w:rPr>
            </w:pPr>
            <w:r w:rsidRPr="00CE3210">
              <w:rPr>
                <w:rFonts w:ascii="Segoe UI Symbol" w:eastAsia="MS Gothic" w:hAnsi="Segoe UI Symbol" w:cs="Segoe UI Symbol"/>
                <w:b/>
                <w:bCs/>
              </w:rPr>
              <w:t>☐</w:t>
            </w:r>
          </w:p>
        </w:tc>
        <w:tc>
          <w:tcPr>
            <w:tcW w:w="1474" w:type="dxa"/>
          </w:tcPr>
          <w:p w14:paraId="2F5248F4" w14:textId="6AED3270" w:rsidR="006A7F97" w:rsidRPr="00CE3210" w:rsidRDefault="007605B6" w:rsidP="00B93F1B">
            <w:pPr>
              <w:rPr>
                <w:rFonts w:cs="Tahoma"/>
                <w:b/>
                <w:bCs/>
              </w:rPr>
            </w:pPr>
            <w:r w:rsidRPr="00CE3210">
              <w:rPr>
                <w:rFonts w:ascii="Segoe UI Symbol" w:eastAsia="MS Gothic" w:hAnsi="Segoe UI Symbol" w:cs="Segoe UI Symbol"/>
                <w:b/>
                <w:bCs/>
              </w:rPr>
              <w:t>☐</w:t>
            </w:r>
          </w:p>
        </w:tc>
      </w:tr>
    </w:tbl>
    <w:p w14:paraId="15B6C56C" w14:textId="7F2037F9" w:rsidR="00FD4066" w:rsidRDefault="00FD4066" w:rsidP="006A7F97"/>
    <w:p w14:paraId="12103BED" w14:textId="77777777" w:rsidR="00FD4066" w:rsidRDefault="00FD4066">
      <w:pPr>
        <w:spacing w:after="0" w:line="240" w:lineRule="auto"/>
      </w:pPr>
      <w:r>
        <w:br w:type="page"/>
      </w:r>
    </w:p>
    <w:p w14:paraId="1341B6F2" w14:textId="77777777" w:rsidR="006A7F97" w:rsidRPr="0011618E" w:rsidRDefault="006A7F97" w:rsidP="006A7F97">
      <w:pPr>
        <w:pStyle w:val="GMCNormalBold"/>
      </w:pPr>
      <w:r w:rsidRPr="0011618E">
        <w:lastRenderedPageBreak/>
        <w:t>Comments</w:t>
      </w:r>
      <w:r>
        <w:t xml:space="preserve"> on sustainability </w:t>
      </w:r>
    </w:p>
    <w:tbl>
      <w:tblPr>
        <w:tblStyle w:val="TableGrid"/>
        <w:tblW w:w="0" w:type="auto"/>
        <w:tblLook w:val="04A0" w:firstRow="1" w:lastRow="0" w:firstColumn="1" w:lastColumn="0" w:noHBand="0" w:noVBand="1"/>
      </w:tblPr>
      <w:tblGrid>
        <w:gridCol w:w="9629"/>
      </w:tblGrid>
      <w:tr w:rsidR="006A7F97" w14:paraId="42041E01" w14:textId="77777777" w:rsidTr="5305D027">
        <w:tc>
          <w:tcPr>
            <w:tcW w:w="9629" w:type="dxa"/>
          </w:tcPr>
          <w:p w14:paraId="5B141996" w14:textId="25F82393" w:rsidR="006A7F97" w:rsidRDefault="001E3D9E" w:rsidP="00B93F1B">
            <w:pPr>
              <w:pStyle w:val="GMCNormalBold"/>
              <w:rPr>
                <w:b w:val="0"/>
              </w:rPr>
            </w:pPr>
            <w:r>
              <w:rPr>
                <w:b w:val="0"/>
              </w:rPr>
              <w:t>FPM</w:t>
            </w:r>
            <w:r w:rsidR="007C5E1B">
              <w:rPr>
                <w:b w:val="0"/>
              </w:rPr>
              <w:t xml:space="preserve"> agree</w:t>
            </w:r>
            <w:r>
              <w:rPr>
                <w:b w:val="0"/>
              </w:rPr>
              <w:t>s</w:t>
            </w:r>
            <w:r w:rsidR="007C5E1B">
              <w:rPr>
                <w:b w:val="0"/>
              </w:rPr>
              <w:t xml:space="preserve"> that it would be important to include the proposed text in paragraph 65. </w:t>
            </w:r>
            <w:r w:rsidR="005867A3">
              <w:rPr>
                <w:b w:val="0"/>
              </w:rPr>
              <w:t>W</w:t>
            </w:r>
            <w:r w:rsidR="006A2DC2">
              <w:rPr>
                <w:b w:val="0"/>
              </w:rPr>
              <w:t xml:space="preserve">e feel that the </w:t>
            </w:r>
            <w:r w:rsidR="5305D027" w:rsidRPr="007C5E1B">
              <w:rPr>
                <w:b w:val="0"/>
              </w:rPr>
              <w:t xml:space="preserve">GMC raise a good point here regarding the impact of climate change or other global challenges such as the pandemic. </w:t>
            </w:r>
            <w:r w:rsidR="006A2DC2">
              <w:rPr>
                <w:b w:val="0"/>
              </w:rPr>
              <w:t>In many other areas beyond medicine there is encouragement for individuals to show some responsibility to the wider population in terms of environmental sustainability. A</w:t>
            </w:r>
            <w:r w:rsidR="5305D027" w:rsidRPr="007C5E1B">
              <w:rPr>
                <w:b w:val="0"/>
              </w:rPr>
              <w:t xml:space="preserve"> comment on global trends</w:t>
            </w:r>
            <w:r w:rsidR="00260D12">
              <w:rPr>
                <w:b w:val="0"/>
              </w:rPr>
              <w:t>,</w:t>
            </w:r>
            <w:r w:rsidR="5305D027" w:rsidRPr="007C5E1B">
              <w:rPr>
                <w:b w:val="0"/>
              </w:rPr>
              <w:t xml:space="preserve"> with an eye to </w:t>
            </w:r>
            <w:r w:rsidR="006A2DC2">
              <w:rPr>
                <w:b w:val="0"/>
              </w:rPr>
              <w:t>reducing carbon emissions</w:t>
            </w:r>
            <w:r w:rsidR="5305D027" w:rsidRPr="007C5E1B">
              <w:rPr>
                <w:b w:val="0"/>
              </w:rPr>
              <w:t xml:space="preserve"> and awareness of global health matters</w:t>
            </w:r>
            <w:r w:rsidR="00260D12">
              <w:rPr>
                <w:b w:val="0"/>
              </w:rPr>
              <w:t>,</w:t>
            </w:r>
            <w:r w:rsidR="5305D027" w:rsidRPr="007C5E1B">
              <w:rPr>
                <w:b w:val="0"/>
              </w:rPr>
              <w:t xml:space="preserve"> </w:t>
            </w:r>
            <w:r w:rsidR="00260D12">
              <w:rPr>
                <w:b w:val="0"/>
              </w:rPr>
              <w:t>might also be appropriate.</w:t>
            </w:r>
            <w:r w:rsidR="5305D027" w:rsidRPr="007C5E1B">
              <w:rPr>
                <w:b w:val="0"/>
              </w:rPr>
              <w:t xml:space="preserve"> </w:t>
            </w:r>
          </w:p>
          <w:p w14:paraId="61B6DF3E" w14:textId="30890616" w:rsidR="00260D12" w:rsidRDefault="00260D12" w:rsidP="00B93F1B">
            <w:pPr>
              <w:pStyle w:val="GMCNormalBold"/>
              <w:rPr>
                <w:b w:val="0"/>
              </w:rPr>
            </w:pPr>
            <w:r>
              <w:rPr>
                <w:b w:val="0"/>
              </w:rPr>
              <w:t xml:space="preserve">Within pharmaceutical medicine some GMC registered doctors will have responsibilities extending beyond the UK and issues of environmental </w:t>
            </w:r>
            <w:r w:rsidR="007A3660">
              <w:rPr>
                <w:b w:val="0"/>
              </w:rPr>
              <w:t xml:space="preserve">responsibility </w:t>
            </w:r>
            <w:r>
              <w:rPr>
                <w:b w:val="0"/>
              </w:rPr>
              <w:t>and social justice (</w:t>
            </w:r>
            <w:proofErr w:type="gramStart"/>
            <w:r>
              <w:rPr>
                <w:b w:val="0"/>
              </w:rPr>
              <w:t>e.g.</w:t>
            </w:r>
            <w:proofErr w:type="gramEnd"/>
            <w:r>
              <w:rPr>
                <w:b w:val="0"/>
              </w:rPr>
              <w:t xml:space="preserve"> access to medicines</w:t>
            </w:r>
            <w:r w:rsidR="00EC1405">
              <w:rPr>
                <w:b w:val="0"/>
              </w:rPr>
              <w:t>)</w:t>
            </w:r>
            <w:r>
              <w:rPr>
                <w:b w:val="0"/>
              </w:rPr>
              <w:t xml:space="preserve"> should already be familiar to them.</w:t>
            </w:r>
          </w:p>
          <w:p w14:paraId="586551E8" w14:textId="13BB3CFB" w:rsidR="006A7F97" w:rsidRDefault="00260D12" w:rsidP="00763D86">
            <w:pPr>
              <w:pStyle w:val="GMCNormalBold"/>
              <w:rPr>
                <w:highlight w:val="yellow"/>
              </w:rPr>
            </w:pPr>
            <w:r>
              <w:rPr>
                <w:b w:val="0"/>
              </w:rPr>
              <w:t xml:space="preserve">Regarding the </w:t>
            </w:r>
            <w:r w:rsidR="00E31456">
              <w:rPr>
                <w:b w:val="0"/>
              </w:rPr>
              <w:t xml:space="preserve">“within the resources available” aspect of paragraph 65, perhaps some further clarity is required. There may be the unintended consequence of suggesting that individual doctors should make rationing decisions based on their own personal view of how this may impact the wider population. There might also be a concern </w:t>
            </w:r>
            <w:r w:rsidR="004473E8">
              <w:rPr>
                <w:b w:val="0"/>
              </w:rPr>
              <w:t>that “available resources” should not be limited to what NHS treatment is available locally. In addition, a reminder of “opportunities for (patients) to participate in appropriate research” (as stated) in paragraph 39 could be added.</w:t>
            </w:r>
          </w:p>
        </w:tc>
      </w:tr>
    </w:tbl>
    <w:p w14:paraId="32FFD558" w14:textId="77777777" w:rsidR="006A7F97" w:rsidRPr="008D6AE4" w:rsidRDefault="006A7F97" w:rsidP="006A7F97">
      <w:pPr>
        <w:pStyle w:val="GMCNormalBold"/>
        <w:rPr>
          <w:highlight w:val="yellow"/>
        </w:rPr>
      </w:pPr>
    </w:p>
    <w:bookmarkEnd w:id="16"/>
    <w:p w14:paraId="1BA867AA" w14:textId="77777777" w:rsidR="006A7F97" w:rsidRDefault="006A7F97" w:rsidP="006A7F97">
      <w:pPr>
        <w:pStyle w:val="Heading1"/>
      </w:pPr>
      <w:r>
        <w:t>Other changes</w:t>
      </w:r>
    </w:p>
    <w:p w14:paraId="269D9E4E" w14:textId="77777777" w:rsidR="006A7F97" w:rsidRDefault="006A7F97" w:rsidP="006A7F97">
      <w:r w:rsidRPr="002E780A">
        <w:t xml:space="preserve">In this section of the survey, </w:t>
      </w:r>
      <w:r>
        <w:t>we’re inviting your feedback on other changes we’re proposing that aren’t covered by the four main themes.</w:t>
      </w:r>
    </w:p>
    <w:p w14:paraId="07CEDCFF" w14:textId="77777777" w:rsidR="006A7F97" w:rsidRPr="00E334B5" w:rsidRDefault="006A7F97" w:rsidP="006A7F97">
      <w:pPr>
        <w:pStyle w:val="Heading2"/>
      </w:pPr>
      <w:r w:rsidRPr="00E334B5">
        <w:t>Domain 1 – working with colleagues</w:t>
      </w:r>
    </w:p>
    <w:p w14:paraId="2600E121" w14:textId="77777777" w:rsidR="006A7F97" w:rsidRPr="00E334B5" w:rsidRDefault="006A7F97">
      <w:pPr>
        <w:pStyle w:val="ListBullet"/>
        <w:numPr>
          <w:ilvl w:val="0"/>
          <w:numId w:val="3"/>
        </w:numPr>
      </w:pPr>
      <w:r w:rsidRPr="00E334B5">
        <w:rPr>
          <w:b/>
          <w:bCs/>
        </w:rPr>
        <w:t xml:space="preserve">Amended existing paragraph 23c (now paragraph 17b) </w:t>
      </w:r>
      <w:r w:rsidRPr="00E334B5">
        <w:t>to include</w:t>
      </w:r>
      <w:r w:rsidRPr="00E334B5">
        <w:rPr>
          <w:b/>
          <w:bCs/>
        </w:rPr>
        <w:t xml:space="preserve"> </w:t>
      </w:r>
      <w:r w:rsidRPr="00E334B5">
        <w:rPr>
          <w:lang w:val="en"/>
        </w:rPr>
        <w:t>software, diagnostic tests and apps. This is to make clear that these are medical devices and adverse events should be reported in the same way as for other medical devices.</w:t>
      </w:r>
    </w:p>
    <w:p w14:paraId="0AC97533" w14:textId="77777777" w:rsidR="006A7F97" w:rsidRPr="00E334B5" w:rsidRDefault="006A7F97">
      <w:pPr>
        <w:pStyle w:val="ListBullet"/>
        <w:numPr>
          <w:ilvl w:val="0"/>
          <w:numId w:val="3"/>
        </w:numPr>
      </w:pPr>
      <w:r w:rsidRPr="00E334B5">
        <w:rPr>
          <w:b/>
          <w:bCs/>
        </w:rPr>
        <w:t>Amended existing paragraph 38 (now paragraph 18)</w:t>
      </w:r>
      <w:r w:rsidRPr="00E334B5">
        <w:t xml:space="preserve"> to include shifts. This is to address feedback that problems arise when medical professionals fail to turn up at short notice or no notice to work shifts. We have however added a qualifier to recognise that a medical professional’s personal circumstances may prevent this – for example, ill health. </w:t>
      </w:r>
    </w:p>
    <w:p w14:paraId="6DA1E092" w14:textId="77777777" w:rsidR="006A7F97" w:rsidRPr="00E334B5" w:rsidRDefault="73E1FFEE" w:rsidP="006A7F97">
      <w:pPr>
        <w:pStyle w:val="Heading2"/>
      </w:pPr>
      <w:r>
        <w:t xml:space="preserve">Domain 2 – working with patients </w:t>
      </w:r>
    </w:p>
    <w:p w14:paraId="76311FF8" w14:textId="77777777" w:rsidR="006A7F97" w:rsidRPr="00E334B5" w:rsidRDefault="006A7F97">
      <w:pPr>
        <w:pStyle w:val="ListBullet"/>
        <w:numPr>
          <w:ilvl w:val="0"/>
          <w:numId w:val="3"/>
        </w:numPr>
      </w:pPr>
      <w:r w:rsidRPr="00E334B5">
        <w:rPr>
          <w:b/>
          <w:bCs/>
        </w:rPr>
        <w:t>Amended existing paragraph 52 (now paragraph 24)</w:t>
      </w:r>
      <w:r w:rsidRPr="00E334B5">
        <w:t xml:space="preserve"> to remove the requirement for medical professionals to explain to a patient if they have a </w:t>
      </w:r>
      <w:r w:rsidRPr="00E334B5">
        <w:lastRenderedPageBreak/>
        <w:t xml:space="preserve">conscientious objection to a particular treatment. This was intended to encourage doctors to make patients aware, to reduce the possibility that a patient might be denied access to appropriate care because of the personal beliefs of the medical professional. We don’t think it’s always necessary or helpful for this to happen, based on feedback from patients and others about the impact it can have on patients and the professional relationship. </w:t>
      </w:r>
    </w:p>
    <w:p w14:paraId="55A472B1" w14:textId="77777777" w:rsidR="006A7F97" w:rsidRPr="00E334B5" w:rsidRDefault="006A7F97">
      <w:pPr>
        <w:pStyle w:val="ListBullet"/>
        <w:numPr>
          <w:ilvl w:val="0"/>
          <w:numId w:val="3"/>
        </w:numPr>
      </w:pPr>
      <w:r w:rsidRPr="00E334B5">
        <w:rPr>
          <w:b/>
          <w:bCs/>
        </w:rPr>
        <w:t xml:space="preserve">Amended existing paragraph 58 (now paragraph 44) </w:t>
      </w:r>
      <w:r w:rsidRPr="00E334B5">
        <w:t>to say that</w:t>
      </w:r>
      <w:r>
        <w:t xml:space="preserve"> medical professionals ‘must not unreasonably deny’ </w:t>
      </w:r>
      <w:r w:rsidRPr="00874F1A">
        <w:rPr>
          <w:lang w:val="en"/>
        </w:rPr>
        <w:t>a patient access to treatment or care that meets their needs</w:t>
      </w:r>
      <w:r>
        <w:rPr>
          <w:lang w:val="en"/>
        </w:rPr>
        <w:t xml:space="preserve">, when the patient </w:t>
      </w:r>
      <w:r w:rsidRPr="00874F1A">
        <w:t>poses a risk to medical professionals. The current formulation (</w:t>
      </w:r>
      <w:r>
        <w:t>‘</w:t>
      </w:r>
      <w:r w:rsidRPr="00874F1A">
        <w:t>you must not deny</w:t>
      </w:r>
      <w:r>
        <w:t>’</w:t>
      </w:r>
      <w:r w:rsidRPr="00874F1A">
        <w:t xml:space="preserve">) has been </w:t>
      </w:r>
      <w:r>
        <w:t>interpreted</w:t>
      </w:r>
      <w:r w:rsidRPr="00874F1A">
        <w:t xml:space="preserve"> as placing </w:t>
      </w:r>
      <w:r w:rsidRPr="00874F1A">
        <w:rPr>
          <w:lang w:val="en"/>
        </w:rPr>
        <w:t>unreasonable</w:t>
      </w:r>
      <w:r w:rsidRPr="00874F1A">
        <w:t xml:space="preserve"> demand on individual clinicians to provide care to patients regardless of the risks to themselves.</w:t>
      </w:r>
      <w:r>
        <w:t xml:space="preserve"> We have also widened the paragraph beyond the patient’s medical condition to include </w:t>
      </w:r>
      <w:r w:rsidRPr="001E002F">
        <w:t xml:space="preserve">wider threats to the health and safety of </w:t>
      </w:r>
      <w:r>
        <w:t xml:space="preserve">medical professionals </w:t>
      </w:r>
      <w:r w:rsidRPr="001E002F">
        <w:t>that may come from patients</w:t>
      </w:r>
      <w:r>
        <w:t>,</w:t>
      </w:r>
      <w:r w:rsidRPr="001E002F">
        <w:t xml:space="preserve"> for example</w:t>
      </w:r>
      <w:r>
        <w:t xml:space="preserve"> from </w:t>
      </w:r>
      <w:r w:rsidRPr="001E002F">
        <w:t xml:space="preserve">violence </w:t>
      </w:r>
      <w:r w:rsidRPr="00E334B5">
        <w:t xml:space="preserve">or abuse. We plan to publish supporting information and advice to expand on our expectations around this. </w:t>
      </w:r>
    </w:p>
    <w:p w14:paraId="1E12BFBE" w14:textId="2C585808" w:rsidR="73E1FFEE" w:rsidRDefault="73E1FFEE">
      <w:pPr>
        <w:pStyle w:val="ListBullet"/>
        <w:numPr>
          <w:ilvl w:val="0"/>
          <w:numId w:val="3"/>
        </w:numPr>
        <w:rPr>
          <w:b/>
          <w:bCs/>
        </w:rPr>
      </w:pPr>
      <w:r w:rsidRPr="73E1FFEE">
        <w:rPr>
          <w:b/>
          <w:bCs/>
        </w:rPr>
        <w:t xml:space="preserve">Added new paragraph 39 </w:t>
      </w:r>
      <w:r>
        <w:t>to signal the importance of research to medicine and to say that medical professionals should offer opportunities to patients to participate in research where appropriate. This interacts with the duty at paragraph 33e (existing paragraph 49d) in relation to giving patients the information they need if they are asked to participate in research, and the amended duty in at paragraph 84 about acting ethically when carrying out research.</w:t>
      </w:r>
      <w:r w:rsidRPr="73E1FFEE">
        <w:rPr>
          <w:b/>
          <w:bCs/>
        </w:rPr>
        <w:t xml:space="preserve"> </w:t>
      </w:r>
    </w:p>
    <w:p w14:paraId="0424218C" w14:textId="77777777" w:rsidR="006A7F97" w:rsidRPr="00E334B5" w:rsidRDefault="006A7F97" w:rsidP="006A7F97">
      <w:pPr>
        <w:pStyle w:val="Heading2"/>
      </w:pPr>
      <w:r w:rsidRPr="00E334B5">
        <w:t xml:space="preserve">Domain 4 – Maintaining trust </w:t>
      </w:r>
    </w:p>
    <w:p w14:paraId="7927B692" w14:textId="77777777" w:rsidR="006A7F97" w:rsidRPr="00E334B5" w:rsidRDefault="006A7F97">
      <w:pPr>
        <w:pStyle w:val="ListBullet"/>
        <w:numPr>
          <w:ilvl w:val="0"/>
          <w:numId w:val="3"/>
        </w:numPr>
        <w:rPr>
          <w:b/>
          <w:bCs/>
        </w:rPr>
      </w:pPr>
      <w:r w:rsidRPr="00E334B5">
        <w:rPr>
          <w:b/>
          <w:bCs/>
        </w:rPr>
        <w:t>New duty at paragraph 74</w:t>
      </w:r>
      <w:r w:rsidRPr="00E334B5">
        <w:t xml:space="preserve"> in relation to communicating as a professional. This draws together existing duties in paragraphs 68-71 of GMP and applies them to all forms of written, spoken and digital communication. We’ve added this in response to feedback that GMP is not sufficiently clear about medical professionals’ responsibilities when communicating publicly, especially on social media. </w:t>
      </w:r>
    </w:p>
    <w:p w14:paraId="03940085" w14:textId="77777777" w:rsidR="006A7F97" w:rsidRPr="00E334B5" w:rsidRDefault="006A7F97">
      <w:pPr>
        <w:pStyle w:val="ListBullet"/>
        <w:numPr>
          <w:ilvl w:val="0"/>
          <w:numId w:val="3"/>
        </w:numPr>
      </w:pPr>
      <w:r w:rsidRPr="00E334B5">
        <w:rPr>
          <w:b/>
          <w:bCs/>
        </w:rPr>
        <w:t>Amended existing paragraph 73</w:t>
      </w:r>
      <w:r w:rsidRPr="00E334B5">
        <w:t xml:space="preserve"> (now paragraph 85) to include investigations (for example, those carried out by the Healthcare Safety Investigation Branch). We also have a new subparagraph expressing a duty to cooperate with any regulator’s investigation in the interests of patient safety. </w:t>
      </w:r>
    </w:p>
    <w:p w14:paraId="5FE49CFF" w14:textId="77777777" w:rsidR="006A7F97" w:rsidRPr="00E334B5" w:rsidRDefault="006A7F97">
      <w:pPr>
        <w:pStyle w:val="ListBullet"/>
        <w:numPr>
          <w:ilvl w:val="0"/>
          <w:numId w:val="3"/>
        </w:numPr>
      </w:pPr>
      <w:r w:rsidRPr="00E334B5">
        <w:rPr>
          <w:b/>
          <w:bCs/>
        </w:rPr>
        <w:t>Amended existing paragraph 78</w:t>
      </w:r>
      <w:r w:rsidRPr="00E334B5">
        <w:t xml:space="preserve"> (now paragraph 81) to make clear that conflicts of interest are not confined to financial interests. We’ve also widened the current paragraph to include conflicts that may be seen to affect the way a medical professional proposes or provides treatments, refers patients or commissions services. We’ve added this in response to feedback that GMP does </w:t>
      </w:r>
      <w:r w:rsidRPr="00E334B5">
        <w:lastRenderedPageBreak/>
        <w:t xml:space="preserve">not give sufficient prominence to conflicts of interest. We have also added a reference to conflicts of interest at paragraph 33.  </w:t>
      </w:r>
    </w:p>
    <w:p w14:paraId="6067C2B1" w14:textId="77777777" w:rsidR="006A7F97" w:rsidRPr="00C8219E" w:rsidRDefault="006A7F97" w:rsidP="006A7F97">
      <w:pPr>
        <w:pStyle w:val="ListBullet"/>
        <w:numPr>
          <w:ilvl w:val="0"/>
          <w:numId w:val="0"/>
        </w:numPr>
        <w:ind w:left="510"/>
        <w:rPr>
          <w:b/>
          <w:bCs/>
        </w:rPr>
      </w:pPr>
      <w:bookmarkStart w:id="17" w:name="_Hlk94973675"/>
      <w:r w:rsidRPr="00C8219E">
        <w:rPr>
          <w:b/>
          <w:bCs/>
        </w:rPr>
        <w:t xml:space="preserve">We welcome your </w:t>
      </w:r>
      <w:r>
        <w:rPr>
          <w:b/>
          <w:bCs/>
        </w:rPr>
        <w:t>comments on whether these new and amended duties are clear and whether there could be any disadvan</w:t>
      </w:r>
      <w:r w:rsidRPr="00C8219E">
        <w:rPr>
          <w:b/>
          <w:bCs/>
        </w:rPr>
        <w:t xml:space="preserve">tages or unintended consequences </w:t>
      </w:r>
      <w:r>
        <w:rPr>
          <w:b/>
          <w:bCs/>
        </w:rPr>
        <w:t>in making these changes</w:t>
      </w:r>
      <w:r w:rsidRPr="00C8219E">
        <w:rPr>
          <w:b/>
          <w:bCs/>
        </w:rPr>
        <w:t xml:space="preserve">. </w:t>
      </w:r>
    </w:p>
    <w:bookmarkEnd w:id="17"/>
    <w:p w14:paraId="07A4FB43" w14:textId="77777777" w:rsidR="006A7F97" w:rsidRPr="00C465D7" w:rsidRDefault="2CD62766" w:rsidP="006A7F97">
      <w:pPr>
        <w:pStyle w:val="GMCNumbertext"/>
        <w:numPr>
          <w:ilvl w:val="0"/>
          <w:numId w:val="1"/>
        </w:numPr>
      </w:pPr>
      <w:r>
        <w:t>Comments on other changes</w:t>
      </w:r>
    </w:p>
    <w:tbl>
      <w:tblPr>
        <w:tblStyle w:val="TableGrid"/>
        <w:tblW w:w="0" w:type="auto"/>
        <w:tblLook w:val="04A0" w:firstRow="1" w:lastRow="0" w:firstColumn="1" w:lastColumn="0" w:noHBand="0" w:noVBand="1"/>
      </w:tblPr>
      <w:tblGrid>
        <w:gridCol w:w="9629"/>
      </w:tblGrid>
      <w:tr w:rsidR="006A7F97" w14:paraId="59E2BB2F" w14:textId="77777777" w:rsidTr="5305D027">
        <w:tc>
          <w:tcPr>
            <w:tcW w:w="9629" w:type="dxa"/>
          </w:tcPr>
          <w:p w14:paraId="5C2C65E8" w14:textId="089D270E" w:rsidR="00DD165A" w:rsidRDefault="00DD165A" w:rsidP="00713718">
            <w:pPr>
              <w:pStyle w:val="GMCNormalBold"/>
              <w:rPr>
                <w:b w:val="0"/>
              </w:rPr>
            </w:pPr>
            <w:r>
              <w:rPr>
                <w:b w:val="0"/>
              </w:rPr>
              <w:t xml:space="preserve">We welcome the addition of paragraph 39 to signal the importance of research to medicine. </w:t>
            </w:r>
          </w:p>
          <w:p w14:paraId="0DFA9155" w14:textId="121C210B" w:rsidR="00713718" w:rsidRPr="00713718" w:rsidRDefault="00713718" w:rsidP="00713718">
            <w:pPr>
              <w:pStyle w:val="GMCNormalBold"/>
              <w:rPr>
                <w:b w:val="0"/>
              </w:rPr>
            </w:pPr>
            <w:r w:rsidRPr="00713718">
              <w:rPr>
                <w:b w:val="0"/>
              </w:rPr>
              <w:t xml:space="preserve">Paragraph 51: Could add “comply with internal and external audits/inspections”. </w:t>
            </w:r>
          </w:p>
          <w:p w14:paraId="60A63016" w14:textId="77777777" w:rsidR="00713718" w:rsidRPr="00713718" w:rsidRDefault="00713718" w:rsidP="00713718">
            <w:pPr>
              <w:pStyle w:val="GMCNormalBold"/>
              <w:rPr>
                <w:b w:val="0"/>
              </w:rPr>
            </w:pPr>
            <w:r w:rsidRPr="00713718">
              <w:rPr>
                <w:b w:val="0"/>
              </w:rPr>
              <w:t>Paragraph 61: Current wording is too broad. Suggest that the final sentence could be amended to “References must include all relevant information you are aware of regarding your colleagues’ competence, performance and overall conduct.</w:t>
            </w:r>
          </w:p>
          <w:p w14:paraId="628F9D66" w14:textId="293D6F97" w:rsidR="00713718" w:rsidRPr="00713718" w:rsidRDefault="00713718" w:rsidP="00713718">
            <w:pPr>
              <w:pStyle w:val="GMCNormalBold"/>
              <w:rPr>
                <w:b w:val="0"/>
              </w:rPr>
            </w:pPr>
            <w:r w:rsidRPr="00713718">
              <w:rPr>
                <w:b w:val="0"/>
              </w:rPr>
              <w:t xml:space="preserve">Paragraph 74: </w:t>
            </w:r>
            <w:r w:rsidR="001F4552">
              <w:rPr>
                <w:b w:val="0"/>
              </w:rPr>
              <w:t>This is r</w:t>
            </w:r>
            <w:r w:rsidRPr="00713718">
              <w:rPr>
                <w:b w:val="0"/>
              </w:rPr>
              <w:t xml:space="preserve">elevant to pharmaceutical </w:t>
            </w:r>
            <w:r w:rsidR="00BD2893">
              <w:rPr>
                <w:b w:val="0"/>
              </w:rPr>
              <w:t>medicine</w:t>
            </w:r>
            <w:r w:rsidR="00BD2893" w:rsidRPr="00713718">
              <w:rPr>
                <w:b w:val="0"/>
              </w:rPr>
              <w:t xml:space="preserve"> </w:t>
            </w:r>
            <w:r w:rsidRPr="00713718">
              <w:rPr>
                <w:b w:val="0"/>
              </w:rPr>
              <w:t xml:space="preserve">and any </w:t>
            </w:r>
            <w:r w:rsidR="00BD2893">
              <w:rPr>
                <w:b w:val="0"/>
              </w:rPr>
              <w:t>situation where</w:t>
            </w:r>
            <w:r w:rsidRPr="00713718">
              <w:rPr>
                <w:b w:val="0"/>
              </w:rPr>
              <w:t xml:space="preserve"> doctor</w:t>
            </w:r>
            <w:r w:rsidR="00BD2893">
              <w:rPr>
                <w:b w:val="0"/>
              </w:rPr>
              <w:t>s are</w:t>
            </w:r>
            <w:r w:rsidRPr="00713718">
              <w:rPr>
                <w:b w:val="0"/>
              </w:rPr>
              <w:t xml:space="preserve"> involved in research or receiving financial benefits from external sources</w:t>
            </w:r>
            <w:r w:rsidR="001F4552">
              <w:rPr>
                <w:b w:val="0"/>
              </w:rPr>
              <w:t>. We recommend</w:t>
            </w:r>
            <w:r w:rsidRPr="00713718">
              <w:rPr>
                <w:b w:val="0"/>
              </w:rPr>
              <w:t xml:space="preserve"> </w:t>
            </w:r>
            <w:r w:rsidR="0085699C">
              <w:rPr>
                <w:b w:val="0"/>
              </w:rPr>
              <w:t>there</w:t>
            </w:r>
            <w:r w:rsidRPr="00713718">
              <w:rPr>
                <w:b w:val="0"/>
              </w:rPr>
              <w:t xml:space="preserve"> be a comment in relation to the disclosure of financial relationships between </w:t>
            </w:r>
            <w:r w:rsidR="00BD2893">
              <w:rPr>
                <w:b w:val="0"/>
              </w:rPr>
              <w:t>healthcare professionals</w:t>
            </w:r>
            <w:r w:rsidR="00BD2893" w:rsidRPr="00713718">
              <w:rPr>
                <w:b w:val="0"/>
              </w:rPr>
              <w:t xml:space="preserve"> </w:t>
            </w:r>
            <w:r w:rsidRPr="00713718">
              <w:rPr>
                <w:b w:val="0"/>
              </w:rPr>
              <w:t xml:space="preserve">and </w:t>
            </w:r>
            <w:r w:rsidR="00BD2893">
              <w:rPr>
                <w:b w:val="0"/>
              </w:rPr>
              <w:t>companies sponsoring research</w:t>
            </w:r>
            <w:r w:rsidRPr="00713718">
              <w:rPr>
                <w:b w:val="0"/>
              </w:rPr>
              <w:t xml:space="preserve">. </w:t>
            </w:r>
          </w:p>
          <w:p w14:paraId="3A9630FD" w14:textId="34EEAC47" w:rsidR="00713718" w:rsidRPr="00713718" w:rsidRDefault="00713718" w:rsidP="00713718">
            <w:pPr>
              <w:pStyle w:val="GMCNormalBold"/>
              <w:rPr>
                <w:b w:val="0"/>
              </w:rPr>
            </w:pPr>
            <w:r w:rsidRPr="00713718">
              <w:rPr>
                <w:b w:val="0"/>
              </w:rPr>
              <w:t xml:space="preserve">Paragraph 76: Guidance here is welcomed and relevant to the pharmaceutical physician’s role as signatory </w:t>
            </w:r>
            <w:r w:rsidR="00DD165A">
              <w:rPr>
                <w:b w:val="0"/>
              </w:rPr>
              <w:t>of</w:t>
            </w:r>
            <w:r w:rsidR="00DD165A" w:rsidRPr="00713718">
              <w:rPr>
                <w:b w:val="0"/>
              </w:rPr>
              <w:t xml:space="preserve"> </w:t>
            </w:r>
            <w:r w:rsidRPr="00713718">
              <w:rPr>
                <w:b w:val="0"/>
              </w:rPr>
              <w:t>promotional material</w:t>
            </w:r>
            <w:r w:rsidR="00DD165A">
              <w:rPr>
                <w:b w:val="0"/>
              </w:rPr>
              <w:t>.</w:t>
            </w:r>
          </w:p>
          <w:p w14:paraId="2EE23912" w14:textId="4353F104" w:rsidR="00713718" w:rsidRPr="00713718" w:rsidRDefault="00713718" w:rsidP="00713718">
            <w:pPr>
              <w:pStyle w:val="GMCNormalBold"/>
              <w:rPr>
                <w:b w:val="0"/>
              </w:rPr>
            </w:pPr>
            <w:r w:rsidRPr="00713718">
              <w:rPr>
                <w:b w:val="0"/>
              </w:rPr>
              <w:t xml:space="preserve">Paragraph 84: </w:t>
            </w:r>
            <w:r w:rsidR="00DD165A">
              <w:rPr>
                <w:b w:val="0"/>
              </w:rPr>
              <w:t>It could be helpful to include a</w:t>
            </w:r>
            <w:r w:rsidRPr="00713718">
              <w:rPr>
                <w:b w:val="0"/>
              </w:rPr>
              <w:t xml:space="preserve"> paragraph </w:t>
            </w:r>
            <w:r w:rsidR="007A3660">
              <w:rPr>
                <w:b w:val="0"/>
              </w:rPr>
              <w:t>containing</w:t>
            </w:r>
            <w:r w:rsidRPr="00713718">
              <w:rPr>
                <w:b w:val="0"/>
              </w:rPr>
              <w:t xml:space="preserve"> specific reference to Good Clinical Practice and include a statement about making the results of research available via recognised routes of data disclosure, regardless of the outcome of a study.</w:t>
            </w:r>
          </w:p>
          <w:p w14:paraId="744017EC" w14:textId="584B6711" w:rsidR="000838AF" w:rsidRDefault="000838AF" w:rsidP="00713718">
            <w:pPr>
              <w:pStyle w:val="GMCNumbertext"/>
              <w:numPr>
                <w:ilvl w:val="0"/>
                <w:numId w:val="0"/>
              </w:numPr>
            </w:pPr>
          </w:p>
        </w:tc>
      </w:tr>
    </w:tbl>
    <w:p w14:paraId="132A4546" w14:textId="06E5435B" w:rsidR="006A7F97" w:rsidRPr="0011618E" w:rsidRDefault="006A7F97" w:rsidP="00FD4066">
      <w:pPr>
        <w:pStyle w:val="Heading1"/>
        <w:rPr>
          <w:szCs w:val="24"/>
        </w:rPr>
      </w:pPr>
      <w:r>
        <w:t xml:space="preserve">Explanatory guidance </w:t>
      </w:r>
    </w:p>
    <w:p w14:paraId="57B04E7E" w14:textId="77777777" w:rsidR="006A7F97" w:rsidRDefault="006A7F97" w:rsidP="006A7F97">
      <w:pPr>
        <w:rPr>
          <w:lang w:val="en"/>
        </w:rPr>
      </w:pPr>
      <w:r>
        <w:rPr>
          <w:lang w:val="en"/>
        </w:rPr>
        <w:t>GMP is supported by a range of explanatory guidance, which is intended to help medical professionals, patients and others understand in more depth how the high</w:t>
      </w:r>
      <w:r>
        <w:rPr>
          <w:lang w:val="en"/>
        </w:rPr>
        <w:noBreakHyphen/>
        <w:t xml:space="preserve">level principles in GMP should be applied in practice. </w:t>
      </w:r>
    </w:p>
    <w:p w14:paraId="21C01D3A" w14:textId="77777777" w:rsidR="006A7F97" w:rsidRPr="00A878CB" w:rsidRDefault="006A7F97" w:rsidP="006A7F97">
      <w:pPr>
        <w:rPr>
          <w:rFonts w:eastAsiaTheme="minorHAnsi"/>
          <w:lang w:val="en"/>
        </w:rPr>
      </w:pPr>
      <w:r>
        <w:rPr>
          <w:lang w:val="en"/>
        </w:rPr>
        <w:t xml:space="preserve">The explanatory guidance doesn’t create new principles of good practice, but instead expands on the duties in GMP. This might include advice about how to make decisions when different GMP principles point to potentially conflicting approaches. </w:t>
      </w:r>
    </w:p>
    <w:p w14:paraId="622E11A9" w14:textId="77777777" w:rsidR="006A7F97" w:rsidRDefault="006A7F97" w:rsidP="006A7F97">
      <w:pPr>
        <w:rPr>
          <w:lang w:val="en"/>
        </w:rPr>
      </w:pPr>
      <w:r>
        <w:rPr>
          <w:lang w:val="en"/>
        </w:rPr>
        <w:t>We’ll use the feedback from this consultation to help us update these pieces of guidance:</w:t>
      </w:r>
    </w:p>
    <w:p w14:paraId="1C686733" w14:textId="77777777" w:rsidR="006A7F97" w:rsidRDefault="001E3D9E">
      <w:pPr>
        <w:numPr>
          <w:ilvl w:val="0"/>
          <w:numId w:val="10"/>
        </w:numPr>
        <w:spacing w:after="0" w:line="240" w:lineRule="auto"/>
      </w:pPr>
      <w:hyperlink r:id="rId16" w:history="1">
        <w:r w:rsidR="006A7F97">
          <w:rPr>
            <w:rStyle w:val="Hyperlink"/>
          </w:rPr>
          <w:t>Personal beliefs and medical practice</w:t>
        </w:r>
      </w:hyperlink>
      <w:r w:rsidR="006A7F97">
        <w:t xml:space="preserve"> </w:t>
      </w:r>
    </w:p>
    <w:p w14:paraId="6C4BCB18" w14:textId="77777777" w:rsidR="006A7F97" w:rsidRDefault="001E3D9E">
      <w:pPr>
        <w:numPr>
          <w:ilvl w:val="0"/>
          <w:numId w:val="10"/>
        </w:numPr>
        <w:spacing w:after="0" w:line="240" w:lineRule="auto"/>
      </w:pPr>
      <w:hyperlink r:id="rId17" w:history="1">
        <w:r w:rsidR="006A7F97">
          <w:rPr>
            <w:rStyle w:val="Hyperlink"/>
          </w:rPr>
          <w:t>Financial and commercial arrangements and conflicts of interest</w:t>
        </w:r>
      </w:hyperlink>
      <w:r w:rsidR="006A7F97">
        <w:t xml:space="preserve"> </w:t>
      </w:r>
    </w:p>
    <w:p w14:paraId="32BB4112" w14:textId="77777777" w:rsidR="006A7F97" w:rsidRDefault="001E3D9E">
      <w:pPr>
        <w:numPr>
          <w:ilvl w:val="0"/>
          <w:numId w:val="10"/>
        </w:numPr>
        <w:spacing w:after="0" w:line="240" w:lineRule="auto"/>
      </w:pPr>
      <w:hyperlink r:id="rId18" w:history="1">
        <w:r w:rsidR="006A7F97">
          <w:rPr>
            <w:rStyle w:val="Hyperlink"/>
          </w:rPr>
          <w:t>Doctors' use of social media</w:t>
        </w:r>
      </w:hyperlink>
      <w:r w:rsidR="006A7F97">
        <w:t xml:space="preserve"> </w:t>
      </w:r>
    </w:p>
    <w:p w14:paraId="54BC1200" w14:textId="77777777" w:rsidR="006A7F97" w:rsidRDefault="001E3D9E">
      <w:pPr>
        <w:numPr>
          <w:ilvl w:val="0"/>
          <w:numId w:val="10"/>
        </w:numPr>
        <w:spacing w:after="0" w:line="240" w:lineRule="auto"/>
      </w:pPr>
      <w:hyperlink r:id="rId19" w:history="1">
        <w:r w:rsidR="006A7F97">
          <w:rPr>
            <w:rStyle w:val="Hyperlink"/>
          </w:rPr>
          <w:t>Ending your professional relationship with a patient</w:t>
        </w:r>
      </w:hyperlink>
      <w:r w:rsidR="006A7F97">
        <w:t xml:space="preserve"> </w:t>
      </w:r>
    </w:p>
    <w:p w14:paraId="4E0B6842" w14:textId="77777777" w:rsidR="006A7F97" w:rsidRDefault="001E3D9E">
      <w:pPr>
        <w:numPr>
          <w:ilvl w:val="0"/>
          <w:numId w:val="10"/>
        </w:numPr>
        <w:spacing w:after="0" w:line="240" w:lineRule="auto"/>
      </w:pPr>
      <w:hyperlink r:id="rId20" w:history="1">
        <w:r w:rsidR="006A7F97">
          <w:rPr>
            <w:rStyle w:val="Hyperlink"/>
          </w:rPr>
          <w:t>Intimate examinations and chaperones</w:t>
        </w:r>
      </w:hyperlink>
      <w:r w:rsidR="006A7F97">
        <w:t xml:space="preserve"> </w:t>
      </w:r>
    </w:p>
    <w:p w14:paraId="26AB9926" w14:textId="77777777" w:rsidR="006A7F97" w:rsidRDefault="001E3D9E">
      <w:pPr>
        <w:numPr>
          <w:ilvl w:val="0"/>
          <w:numId w:val="10"/>
        </w:numPr>
        <w:spacing w:after="0" w:line="240" w:lineRule="auto"/>
      </w:pPr>
      <w:hyperlink r:id="rId21" w:history="1">
        <w:r w:rsidR="006A7F97">
          <w:rPr>
            <w:rStyle w:val="Hyperlink"/>
          </w:rPr>
          <w:t>Maintaining a professional boundary between you and your patient</w:t>
        </w:r>
      </w:hyperlink>
      <w:r w:rsidR="006A7F97">
        <w:t xml:space="preserve"> </w:t>
      </w:r>
    </w:p>
    <w:p w14:paraId="201F133C" w14:textId="77777777" w:rsidR="006A7F97" w:rsidRDefault="001E3D9E">
      <w:pPr>
        <w:numPr>
          <w:ilvl w:val="0"/>
          <w:numId w:val="10"/>
        </w:numPr>
        <w:spacing w:after="0" w:line="240" w:lineRule="auto"/>
      </w:pPr>
      <w:hyperlink r:id="rId22" w:history="1">
        <w:r w:rsidR="006A7F97">
          <w:rPr>
            <w:rStyle w:val="Hyperlink"/>
          </w:rPr>
          <w:t>Sexual behaviour and your duty to report colleagues</w:t>
        </w:r>
      </w:hyperlink>
      <w:r w:rsidR="006A7F97">
        <w:t xml:space="preserve"> </w:t>
      </w:r>
    </w:p>
    <w:p w14:paraId="6331A2C3" w14:textId="77777777" w:rsidR="006A7F97" w:rsidRDefault="001E3D9E">
      <w:pPr>
        <w:numPr>
          <w:ilvl w:val="0"/>
          <w:numId w:val="10"/>
        </w:numPr>
        <w:spacing w:after="0" w:line="240" w:lineRule="auto"/>
      </w:pPr>
      <w:hyperlink r:id="rId23" w:history="1">
        <w:r w:rsidR="006A7F97">
          <w:rPr>
            <w:rStyle w:val="Hyperlink"/>
          </w:rPr>
          <w:t>Delegation and referral</w:t>
        </w:r>
      </w:hyperlink>
      <w:r w:rsidR="006A7F97">
        <w:t xml:space="preserve"> </w:t>
      </w:r>
    </w:p>
    <w:p w14:paraId="023DF500" w14:textId="77777777" w:rsidR="006A7F97" w:rsidRDefault="001E3D9E">
      <w:pPr>
        <w:numPr>
          <w:ilvl w:val="0"/>
          <w:numId w:val="10"/>
        </w:numPr>
        <w:spacing w:after="0" w:line="240" w:lineRule="auto"/>
      </w:pPr>
      <w:hyperlink r:id="rId24" w:history="1">
        <w:r w:rsidR="006A7F97">
          <w:rPr>
            <w:rStyle w:val="Hyperlink"/>
          </w:rPr>
          <w:t>Acting as a witness in legal proceedings</w:t>
        </w:r>
      </w:hyperlink>
      <w:r w:rsidR="006A7F97">
        <w:t xml:space="preserve"> </w:t>
      </w:r>
    </w:p>
    <w:p w14:paraId="1DECB288" w14:textId="78868A4B" w:rsidR="006A7F97" w:rsidRDefault="001E3D9E">
      <w:pPr>
        <w:numPr>
          <w:ilvl w:val="0"/>
          <w:numId w:val="10"/>
        </w:numPr>
        <w:spacing w:after="0" w:line="240" w:lineRule="auto"/>
      </w:pPr>
      <w:hyperlink r:id="rId25" w:history="1">
        <w:r w:rsidR="006A7F97">
          <w:rPr>
            <w:rStyle w:val="Hyperlink"/>
          </w:rPr>
          <w:t>Writing references</w:t>
        </w:r>
      </w:hyperlink>
      <w:r w:rsidR="00FD4066" w:rsidRPr="00FD4066">
        <w:rPr>
          <w:rStyle w:val="FootnoteReference"/>
          <w:color w:val="0000FF"/>
        </w:rPr>
        <w:footnoteReference w:id="8"/>
      </w:r>
    </w:p>
    <w:p w14:paraId="1C89C15C" w14:textId="77777777" w:rsidR="006A7F97" w:rsidRDefault="006A7F97" w:rsidP="006A7F97">
      <w:pPr>
        <w:rPr>
          <w:lang w:val="en"/>
        </w:rPr>
      </w:pPr>
    </w:p>
    <w:p w14:paraId="6BCBA882" w14:textId="77777777" w:rsidR="006A7F97" w:rsidRDefault="006A7F97" w:rsidP="006A7F97">
      <w:pPr>
        <w:rPr>
          <w:lang w:val="en"/>
        </w:rPr>
      </w:pPr>
      <w:r>
        <w:rPr>
          <w:lang w:val="en"/>
        </w:rPr>
        <w:t xml:space="preserve">We welcome your comments on these pieces, particularly: </w:t>
      </w:r>
    </w:p>
    <w:p w14:paraId="7F0C6501" w14:textId="77777777" w:rsidR="006A7F97" w:rsidRDefault="006A7F97">
      <w:pPr>
        <w:pStyle w:val="ListBullet"/>
        <w:numPr>
          <w:ilvl w:val="0"/>
          <w:numId w:val="3"/>
        </w:numPr>
        <w:rPr>
          <w:lang w:val="en"/>
        </w:rPr>
      </w:pPr>
      <w:r>
        <w:rPr>
          <w:lang w:val="en"/>
        </w:rPr>
        <w:t xml:space="preserve">which topics we should </w:t>
      </w:r>
      <w:proofErr w:type="spellStart"/>
      <w:r>
        <w:rPr>
          <w:lang w:val="en"/>
        </w:rPr>
        <w:t>prioritise</w:t>
      </w:r>
      <w:proofErr w:type="spellEnd"/>
      <w:r>
        <w:rPr>
          <w:lang w:val="en"/>
        </w:rPr>
        <w:t xml:space="preserve"> for redrafting and why </w:t>
      </w:r>
    </w:p>
    <w:p w14:paraId="198BD937" w14:textId="77777777" w:rsidR="006A7F97" w:rsidRDefault="006A7F97">
      <w:pPr>
        <w:pStyle w:val="ListBullet"/>
        <w:numPr>
          <w:ilvl w:val="0"/>
          <w:numId w:val="3"/>
        </w:numPr>
        <w:rPr>
          <w:lang w:val="en"/>
        </w:rPr>
      </w:pPr>
      <w:r>
        <w:rPr>
          <w:lang w:val="en"/>
        </w:rPr>
        <w:t xml:space="preserve">if there’s a theme </w:t>
      </w:r>
      <w:r w:rsidRPr="00A878CB">
        <w:rPr>
          <w:lang w:val="en"/>
        </w:rPr>
        <w:t>in a particular piece of guidance that</w:t>
      </w:r>
      <w:r>
        <w:rPr>
          <w:lang w:val="en"/>
        </w:rPr>
        <w:t xml:space="preserve"> needs more detail </w:t>
      </w:r>
    </w:p>
    <w:p w14:paraId="2518E494" w14:textId="77777777" w:rsidR="006A7F97" w:rsidRDefault="006A7F97">
      <w:pPr>
        <w:pStyle w:val="ListBullet"/>
        <w:numPr>
          <w:ilvl w:val="0"/>
          <w:numId w:val="3"/>
        </w:numPr>
        <w:rPr>
          <w:lang w:val="en"/>
        </w:rPr>
      </w:pPr>
      <w:r>
        <w:rPr>
          <w:lang w:val="en"/>
        </w:rPr>
        <w:t xml:space="preserve">if there is anything we could remove </w:t>
      </w:r>
    </w:p>
    <w:p w14:paraId="4705D430" w14:textId="77777777" w:rsidR="006A7F97" w:rsidRDefault="006A7F97">
      <w:pPr>
        <w:pStyle w:val="ListBullet"/>
        <w:numPr>
          <w:ilvl w:val="0"/>
          <w:numId w:val="3"/>
        </w:numPr>
        <w:rPr>
          <w:lang w:val="en"/>
        </w:rPr>
      </w:pPr>
      <w:r>
        <w:rPr>
          <w:lang w:val="en"/>
        </w:rPr>
        <w:t xml:space="preserve">if there is anything we should add  </w:t>
      </w:r>
    </w:p>
    <w:p w14:paraId="45AA07C9" w14:textId="77777777" w:rsidR="006A7F97" w:rsidRDefault="006A7F97" w:rsidP="006A7F97">
      <w:pPr>
        <w:rPr>
          <w:lang w:val="en"/>
        </w:rPr>
      </w:pPr>
      <w:r>
        <w:rPr>
          <w:lang w:val="en"/>
        </w:rPr>
        <w:t xml:space="preserve">If you’re suggesting new topics for us to address in explanatory guidance, please say which paragraph of the draft GMP content it would be supporting and why it’s needed. </w:t>
      </w:r>
    </w:p>
    <w:p w14:paraId="26F97566" w14:textId="77777777" w:rsidR="006A7F97" w:rsidRPr="0011618E" w:rsidRDefault="2CD62766" w:rsidP="006A7F97">
      <w:pPr>
        <w:pStyle w:val="GMCNumbertext"/>
        <w:numPr>
          <w:ilvl w:val="0"/>
          <w:numId w:val="1"/>
        </w:numPr>
        <w:rPr>
          <w:lang w:val="en"/>
        </w:rPr>
      </w:pPr>
      <w:r w:rsidRPr="2CD62766">
        <w:rPr>
          <w:lang w:val="en"/>
        </w:rPr>
        <w:t>Comments on explanatory guidance</w:t>
      </w:r>
    </w:p>
    <w:tbl>
      <w:tblPr>
        <w:tblStyle w:val="TableGrid"/>
        <w:tblW w:w="0" w:type="auto"/>
        <w:tblLook w:val="04A0" w:firstRow="1" w:lastRow="0" w:firstColumn="1" w:lastColumn="0" w:noHBand="0" w:noVBand="1"/>
      </w:tblPr>
      <w:tblGrid>
        <w:gridCol w:w="9629"/>
      </w:tblGrid>
      <w:tr w:rsidR="006A7F97" w14:paraId="3BFACAEC" w14:textId="77777777" w:rsidTr="00B93F1B">
        <w:tc>
          <w:tcPr>
            <w:tcW w:w="9629" w:type="dxa"/>
          </w:tcPr>
          <w:p w14:paraId="4B19998E" w14:textId="3BF9BA57" w:rsidR="006A7F97" w:rsidRDefault="00B06A2B" w:rsidP="00B93F1B">
            <w:pPr>
              <w:spacing w:after="0" w:line="240" w:lineRule="auto"/>
            </w:pPr>
            <w:r>
              <w:t>As previously mentioned, some separate guidance on working with technological advances including decision-support software and Artificial Intelligence applications could be considered.</w:t>
            </w:r>
          </w:p>
          <w:p w14:paraId="3024ABB6" w14:textId="77777777" w:rsidR="006A7F97" w:rsidRDefault="006A7F97" w:rsidP="00B93F1B">
            <w:pPr>
              <w:spacing w:after="0" w:line="240" w:lineRule="auto"/>
            </w:pPr>
          </w:p>
          <w:p w14:paraId="09DC37C4" w14:textId="77777777" w:rsidR="006A7F97" w:rsidRDefault="006A7F97" w:rsidP="00B93F1B">
            <w:pPr>
              <w:spacing w:after="0" w:line="240" w:lineRule="auto"/>
            </w:pPr>
          </w:p>
          <w:p w14:paraId="60541B17" w14:textId="77777777" w:rsidR="006A7F97" w:rsidRDefault="006A7F97" w:rsidP="00B93F1B">
            <w:pPr>
              <w:spacing w:after="0" w:line="240" w:lineRule="auto"/>
            </w:pPr>
          </w:p>
          <w:p w14:paraId="15A026BD" w14:textId="77777777" w:rsidR="006A7F97" w:rsidRDefault="006A7F97" w:rsidP="00B93F1B">
            <w:pPr>
              <w:spacing w:after="0" w:line="240" w:lineRule="auto"/>
            </w:pPr>
          </w:p>
        </w:tc>
      </w:tr>
    </w:tbl>
    <w:p w14:paraId="4A66BDD7" w14:textId="77777777" w:rsidR="006A7F97" w:rsidRDefault="006A7F97" w:rsidP="006A7F97">
      <w:pPr>
        <w:pStyle w:val="Heading1"/>
      </w:pPr>
      <w:r>
        <w:t xml:space="preserve">Overall comments </w:t>
      </w:r>
    </w:p>
    <w:p w14:paraId="628DD10C" w14:textId="77777777" w:rsidR="006A7F97" w:rsidRDefault="006A7F97" w:rsidP="006A7F97">
      <w:r>
        <w:t>In this section, we’d like your views on the guidance overall and anything we haven’t specifically asked about already. When answering these questions, please bear in mind the criteria which the final guidance must meet:</w:t>
      </w:r>
    </w:p>
    <w:p w14:paraId="7599A16F" w14:textId="77777777" w:rsidR="006A7F97" w:rsidRPr="006743A9" w:rsidRDefault="006A7F97">
      <w:pPr>
        <w:pStyle w:val="ListBullet"/>
        <w:numPr>
          <w:ilvl w:val="0"/>
          <w:numId w:val="3"/>
        </w:numPr>
      </w:pPr>
      <w:r>
        <w:t>r</w:t>
      </w:r>
      <w:r w:rsidRPr="006743A9">
        <w:t xml:space="preserve">elevant to the </w:t>
      </w:r>
      <w:r>
        <w:t xml:space="preserve">individual registrant’s practice, </w:t>
      </w:r>
      <w:r w:rsidRPr="006743A9">
        <w:t>not an action for employers, educators</w:t>
      </w:r>
      <w:r>
        <w:t xml:space="preserve"> or</w:t>
      </w:r>
      <w:r w:rsidRPr="006743A9">
        <w:t xml:space="preserve"> government</w:t>
      </w:r>
    </w:p>
    <w:p w14:paraId="21D304A1" w14:textId="77777777" w:rsidR="006A7F97" w:rsidRPr="006743A9" w:rsidRDefault="006A7F97">
      <w:pPr>
        <w:pStyle w:val="ListBullet"/>
        <w:numPr>
          <w:ilvl w:val="0"/>
          <w:numId w:val="3"/>
        </w:numPr>
      </w:pPr>
      <w:r>
        <w:t>r</w:t>
      </w:r>
      <w:r w:rsidRPr="006743A9">
        <w:t>elevant to most</w:t>
      </w:r>
      <w:r>
        <w:t xml:space="preserve"> -</w:t>
      </w:r>
      <w:r w:rsidRPr="006743A9">
        <w:t xml:space="preserve"> if not all</w:t>
      </w:r>
      <w:r>
        <w:t xml:space="preserve"> -</w:t>
      </w:r>
      <w:r w:rsidRPr="006743A9">
        <w:t xml:space="preserve"> registrant</w:t>
      </w:r>
      <w:r>
        <w:t xml:space="preserve">s, keeping in mind that our </w:t>
      </w:r>
      <w:r w:rsidRPr="006743A9">
        <w:t xml:space="preserve">registrants </w:t>
      </w:r>
      <w:r>
        <w:t xml:space="preserve">will include doctors, PAs and AAs, and not </w:t>
      </w:r>
      <w:r w:rsidRPr="006743A9">
        <w:t xml:space="preserve">all </w:t>
      </w:r>
      <w:r>
        <w:t xml:space="preserve">registrants </w:t>
      </w:r>
      <w:r w:rsidRPr="006743A9">
        <w:t>work in patient-facing roles</w:t>
      </w:r>
    </w:p>
    <w:p w14:paraId="37655E25" w14:textId="77777777" w:rsidR="006A7F97" w:rsidRPr="006743A9" w:rsidRDefault="006A7F97">
      <w:pPr>
        <w:pStyle w:val="ListBullet"/>
        <w:numPr>
          <w:ilvl w:val="0"/>
          <w:numId w:val="3"/>
        </w:numPr>
      </w:pPr>
      <w:r>
        <w:lastRenderedPageBreak/>
        <w:t xml:space="preserve">actionable </w:t>
      </w:r>
      <w:r w:rsidRPr="006743A9">
        <w:t xml:space="preserve">by </w:t>
      </w:r>
      <w:r>
        <w:t>registrants</w:t>
      </w:r>
      <w:r w:rsidRPr="006743A9">
        <w:t xml:space="preserve"> in practice and capable of being evidenced, e.g., through appraisal and revalidation</w:t>
      </w:r>
    </w:p>
    <w:p w14:paraId="46D97A1F" w14:textId="77777777" w:rsidR="006A7F97" w:rsidRDefault="006A7F97">
      <w:pPr>
        <w:pStyle w:val="ListBullet"/>
        <w:numPr>
          <w:ilvl w:val="0"/>
          <w:numId w:val="3"/>
        </w:numPr>
      </w:pPr>
      <w:r>
        <w:t>necessary to protect patients, maintain standards or to uphold confidence in the professions we regulate</w:t>
      </w:r>
      <w:r w:rsidRPr="006743A9">
        <w:t>.</w:t>
      </w:r>
    </w:p>
    <w:p w14:paraId="202ED872" w14:textId="77777777" w:rsidR="006A7F97" w:rsidRDefault="006A7F97" w:rsidP="006A7F97">
      <w:pPr>
        <w:pStyle w:val="GMCNormalBold"/>
      </w:pPr>
      <w:r>
        <w:t xml:space="preserve">In particular, you might want to tell us if there’s anything: </w:t>
      </w:r>
    </w:p>
    <w:p w14:paraId="40325772" w14:textId="77777777" w:rsidR="006A7F97" w:rsidRDefault="006A7F97">
      <w:pPr>
        <w:pStyle w:val="ListBullet"/>
        <w:numPr>
          <w:ilvl w:val="0"/>
          <w:numId w:val="3"/>
        </w:numPr>
      </w:pPr>
      <w:r>
        <w:t xml:space="preserve">missing from the updated guidance </w:t>
      </w:r>
    </w:p>
    <w:p w14:paraId="66517592" w14:textId="77777777" w:rsidR="006A7F97" w:rsidRDefault="006A7F97">
      <w:pPr>
        <w:pStyle w:val="ListBullet"/>
        <w:numPr>
          <w:ilvl w:val="0"/>
          <w:numId w:val="3"/>
        </w:numPr>
      </w:pPr>
      <w:r>
        <w:t xml:space="preserve">we should remove from the updated guidance? </w:t>
      </w:r>
    </w:p>
    <w:p w14:paraId="5E1854FA" w14:textId="77777777" w:rsidR="006A7F97" w:rsidRPr="006A45C7" w:rsidRDefault="2CD62766" w:rsidP="006A7F97">
      <w:pPr>
        <w:pStyle w:val="GMCNumbertext"/>
        <w:numPr>
          <w:ilvl w:val="0"/>
          <w:numId w:val="1"/>
        </w:numPr>
        <w:rPr>
          <w:rFonts w:cs="Tahoma"/>
          <w:color w:val="auto"/>
          <w:lang w:eastAsia="en-GB"/>
        </w:rPr>
      </w:pPr>
      <w:r>
        <w:t xml:space="preserve">Overall comments  </w:t>
      </w:r>
    </w:p>
    <w:tbl>
      <w:tblPr>
        <w:tblStyle w:val="TableGrid"/>
        <w:tblW w:w="0" w:type="auto"/>
        <w:tblLook w:val="04A0" w:firstRow="1" w:lastRow="0" w:firstColumn="1" w:lastColumn="0" w:noHBand="0" w:noVBand="1"/>
      </w:tblPr>
      <w:tblGrid>
        <w:gridCol w:w="9629"/>
      </w:tblGrid>
      <w:tr w:rsidR="006A7F97" w14:paraId="4CF2FFB5" w14:textId="77777777" w:rsidTr="5305D027">
        <w:tc>
          <w:tcPr>
            <w:tcW w:w="13950" w:type="dxa"/>
          </w:tcPr>
          <w:p w14:paraId="6680ED15" w14:textId="113B7478" w:rsidR="006A7F97" w:rsidRDefault="00B06A2B" w:rsidP="00B93F1B">
            <w:pPr>
              <w:spacing w:after="0" w:line="240" w:lineRule="auto"/>
            </w:pPr>
            <w:r>
              <w:t xml:space="preserve">It should be noted that many doctors do not work with individual patients. We have suggested that Domain 2 should be retitled </w:t>
            </w:r>
            <w:r w:rsidR="00A3531C">
              <w:t>“Working for and with patients” to reflect both a patient</w:t>
            </w:r>
            <w:r w:rsidR="00077969">
              <w:t>-</w:t>
            </w:r>
            <w:r w:rsidR="00A3531C">
              <w:t>partnership element</w:t>
            </w:r>
            <w:r w:rsidR="00445AC7">
              <w:t>,</w:t>
            </w:r>
            <w:r w:rsidR="00A3531C">
              <w:t xml:space="preserve"> when dealing with individual patients</w:t>
            </w:r>
            <w:r w:rsidR="00445AC7">
              <w:t>,</w:t>
            </w:r>
            <w:r w:rsidR="00A3531C">
              <w:t xml:space="preserve"> and a patient-centric approach when dealing with activities that impact populations of patients. The principles contained in the guidance provided for Domain 2 would apply broadly to both although some individual paragraphs may not be relevant to medical practitioners who do not deal with individual patients. </w:t>
            </w:r>
          </w:p>
          <w:p w14:paraId="7B143EE7" w14:textId="77777777" w:rsidR="006A7F97" w:rsidRDefault="006A7F97" w:rsidP="00B93F1B">
            <w:pPr>
              <w:spacing w:after="0" w:line="240" w:lineRule="auto"/>
            </w:pPr>
          </w:p>
          <w:p w14:paraId="4ED0898D" w14:textId="3139CD53" w:rsidR="00AA41B6" w:rsidRDefault="00AA41B6" w:rsidP="00B93F1B">
            <w:pPr>
              <w:spacing w:after="0" w:line="240" w:lineRule="auto"/>
            </w:pPr>
          </w:p>
          <w:p w14:paraId="1186C099" w14:textId="79976015" w:rsidR="00AA41B6" w:rsidRDefault="00AA41B6" w:rsidP="00B93F1B">
            <w:pPr>
              <w:spacing w:after="0" w:line="240" w:lineRule="auto"/>
            </w:pPr>
          </w:p>
          <w:p w14:paraId="3F4DEFCD" w14:textId="77777777" w:rsidR="00AA41B6" w:rsidRDefault="00AA41B6" w:rsidP="00B93F1B">
            <w:pPr>
              <w:spacing w:after="0" w:line="240" w:lineRule="auto"/>
            </w:pPr>
          </w:p>
          <w:p w14:paraId="634E8D13" w14:textId="77777777" w:rsidR="006A7F97" w:rsidRDefault="006A7F97" w:rsidP="00B93F1B">
            <w:pPr>
              <w:spacing w:after="0" w:line="240" w:lineRule="auto"/>
            </w:pPr>
          </w:p>
          <w:p w14:paraId="57870DD5" w14:textId="77777777" w:rsidR="006A7F97" w:rsidRDefault="006A7F97" w:rsidP="00B93F1B">
            <w:pPr>
              <w:spacing w:after="0" w:line="240" w:lineRule="auto"/>
            </w:pPr>
          </w:p>
          <w:p w14:paraId="732A8ED9" w14:textId="2BF57426" w:rsidR="006A7F97" w:rsidRDefault="006A7F97" w:rsidP="00B93F1B">
            <w:pPr>
              <w:spacing w:after="0" w:line="240" w:lineRule="auto"/>
            </w:pPr>
          </w:p>
          <w:p w14:paraId="0275A622" w14:textId="76730F09" w:rsidR="00AA41B6" w:rsidRDefault="00AA41B6" w:rsidP="00B93F1B">
            <w:pPr>
              <w:spacing w:after="0" w:line="240" w:lineRule="auto"/>
            </w:pPr>
          </w:p>
          <w:p w14:paraId="3714BE50" w14:textId="77777777" w:rsidR="00AA41B6" w:rsidRDefault="00AA41B6" w:rsidP="00B93F1B">
            <w:pPr>
              <w:spacing w:after="0" w:line="240" w:lineRule="auto"/>
            </w:pPr>
          </w:p>
          <w:p w14:paraId="42B71F4E" w14:textId="77777777" w:rsidR="006A7F97" w:rsidRDefault="006A7F97" w:rsidP="00B93F1B">
            <w:pPr>
              <w:spacing w:after="0" w:line="240" w:lineRule="auto"/>
            </w:pPr>
          </w:p>
          <w:p w14:paraId="0638D293" w14:textId="77777777" w:rsidR="006A7F97" w:rsidRDefault="006A7F97" w:rsidP="00B93F1B">
            <w:pPr>
              <w:spacing w:after="0" w:line="240" w:lineRule="auto"/>
            </w:pPr>
          </w:p>
        </w:tc>
      </w:tr>
    </w:tbl>
    <w:p w14:paraId="2148A656" w14:textId="77777777" w:rsidR="006A7F97" w:rsidRDefault="006A7F97" w:rsidP="006A7F97">
      <w:pPr>
        <w:spacing w:after="0" w:line="240" w:lineRule="auto"/>
      </w:pPr>
    </w:p>
    <w:p w14:paraId="7B21F413" w14:textId="77777777" w:rsidR="006A7F97" w:rsidRDefault="006A7F97" w:rsidP="006A7F97">
      <w:pPr>
        <w:spacing w:after="0" w:line="240" w:lineRule="auto"/>
        <w:rPr>
          <w:rFonts w:cs="Arial"/>
          <w:b/>
          <w:bCs/>
          <w:color w:val="30A5BE"/>
          <w:kern w:val="32"/>
          <w:sz w:val="40"/>
          <w:szCs w:val="32"/>
        </w:rPr>
      </w:pPr>
      <w:r>
        <w:br w:type="page"/>
      </w:r>
    </w:p>
    <w:p w14:paraId="59005C28" w14:textId="77777777" w:rsidR="006A7F97" w:rsidRPr="00115D36" w:rsidRDefault="006A7F97" w:rsidP="006A7F97">
      <w:pPr>
        <w:pStyle w:val="Heading1"/>
      </w:pPr>
      <w:r>
        <w:lastRenderedPageBreak/>
        <w:t xml:space="preserve">Implementing our professional standards  </w:t>
      </w:r>
    </w:p>
    <w:p w14:paraId="7DDC57B3" w14:textId="77777777" w:rsidR="006A7F97" w:rsidRDefault="006A7F97" w:rsidP="006A7F97">
      <w:r w:rsidRPr="00115D36">
        <w:t xml:space="preserve">The review of </w:t>
      </w:r>
      <w:r>
        <w:t>GMP</w:t>
      </w:r>
      <w:r w:rsidRPr="00115D36">
        <w:t xml:space="preserve"> is an important opportunity to improve how we implement </w:t>
      </w:r>
      <w:r>
        <w:t xml:space="preserve">all </w:t>
      </w:r>
      <w:r w:rsidRPr="00115D36">
        <w:t xml:space="preserve">our professional standards. We want to do </w:t>
      </w:r>
      <w:r>
        <w:t xml:space="preserve">be more effective, </w:t>
      </w:r>
      <w:r w:rsidRPr="00115D36">
        <w:t xml:space="preserve">after launching updated guidance, </w:t>
      </w:r>
      <w:r>
        <w:t xml:space="preserve">in </w:t>
      </w:r>
      <w:r w:rsidRPr="00115D36">
        <w:t>promot</w:t>
      </w:r>
      <w:r>
        <w:t>ing it and supporting its implementation</w:t>
      </w:r>
      <w:r w:rsidRPr="00115D36">
        <w:t>.</w:t>
      </w:r>
      <w:r>
        <w:t xml:space="preserve"> </w:t>
      </w:r>
    </w:p>
    <w:p w14:paraId="091D60D2" w14:textId="77777777" w:rsidR="006A7F97" w:rsidRPr="00115D36" w:rsidRDefault="006A7F97" w:rsidP="006A7F97">
      <w:r w:rsidRPr="004D3AFE">
        <w:t>We recognise that while we have considerable impact through our activities as a regulator, our goals around supporting and influencing practice and culture can’t be achieved without collaboration and partnership with others.</w:t>
      </w:r>
    </w:p>
    <w:p w14:paraId="47181641" w14:textId="77777777" w:rsidR="006A7F97" w:rsidRPr="00115D36" w:rsidRDefault="006A7F97" w:rsidP="006A7F97">
      <w:r w:rsidRPr="00115D36">
        <w:t xml:space="preserve">Responses to the questions </w:t>
      </w:r>
      <w:r>
        <w:t xml:space="preserve">in this section </w:t>
      </w:r>
      <w:r w:rsidRPr="00115D36">
        <w:t>will</w:t>
      </w:r>
      <w:r>
        <w:t xml:space="preserve"> help us </w:t>
      </w:r>
      <w:r w:rsidRPr="00115D36">
        <w:t xml:space="preserve">understand what acts as a barrier or a positive influence on how our professional standards are put into practice. The insights from your responses will </w:t>
      </w:r>
      <w:r>
        <w:t xml:space="preserve">also </w:t>
      </w:r>
      <w:r w:rsidRPr="00115D36">
        <w:t xml:space="preserve">guide our decisions on how to support the use of GMP when </w:t>
      </w:r>
      <w:r>
        <w:t xml:space="preserve">it’s </w:t>
      </w:r>
      <w:r w:rsidRPr="00115D36">
        <w:t xml:space="preserve">published.  </w:t>
      </w:r>
    </w:p>
    <w:p w14:paraId="021A9DC6" w14:textId="77777777" w:rsidR="006A7F97" w:rsidRDefault="006A7F97" w:rsidP="006A7F97">
      <w:r>
        <w:t xml:space="preserve">We’ve asked </w:t>
      </w:r>
      <w:r w:rsidRPr="00115D36">
        <w:t xml:space="preserve">about approaches to implementing </w:t>
      </w:r>
      <w:r w:rsidRPr="00115D36">
        <w:rPr>
          <w:u w:val="single"/>
        </w:rPr>
        <w:t>all</w:t>
      </w:r>
      <w:r w:rsidRPr="00115D36">
        <w:t xml:space="preserve"> professional standards</w:t>
      </w:r>
      <w:r>
        <w:t>,</w:t>
      </w:r>
      <w:r w:rsidRPr="00115D36">
        <w:t xml:space="preserve"> not just the content of GMP.</w:t>
      </w:r>
      <w:r>
        <w:t xml:space="preserve"> </w:t>
      </w:r>
      <w:r w:rsidRPr="00115D36">
        <w:t>If you need information about our current approach to implementing professional standards, you can find it</w:t>
      </w:r>
      <w:r>
        <w:t xml:space="preserve"> </w:t>
      </w:r>
      <w:hyperlink r:id="rId26" w:history="1">
        <w:r w:rsidRPr="005A4C27">
          <w:rPr>
            <w:rStyle w:val="Hyperlink"/>
          </w:rPr>
          <w:t xml:space="preserve">on our webpages about the </w:t>
        </w:r>
        <w:r w:rsidRPr="005A4C27">
          <w:rPr>
            <w:rStyle w:val="Hyperlink"/>
            <w:i/>
            <w:iCs/>
          </w:rPr>
          <w:t>Good medical practice</w:t>
        </w:r>
        <w:r w:rsidRPr="005A4C27">
          <w:rPr>
            <w:rStyle w:val="Hyperlink"/>
          </w:rPr>
          <w:t xml:space="preserve"> review</w:t>
        </w:r>
      </w:hyperlink>
      <w:r>
        <w:t>.</w:t>
      </w:r>
      <w:r>
        <w:rPr>
          <w:rStyle w:val="FootnoteReference"/>
        </w:rPr>
        <w:footnoteReference w:id="9"/>
      </w:r>
      <w:r>
        <w:t xml:space="preserve"> </w:t>
      </w:r>
    </w:p>
    <w:p w14:paraId="52236675" w14:textId="77777777" w:rsidR="006A7F97" w:rsidRDefault="006A7F97" w:rsidP="006A7F97">
      <w:r w:rsidRPr="00115D36">
        <w:t xml:space="preserve">We’re aware there are many influences on the everyday practice of medical professionals and these can vary depending on their working environment. </w:t>
      </w:r>
      <w:r>
        <w:t xml:space="preserve">How a </w:t>
      </w:r>
      <w:r w:rsidRPr="00115D36">
        <w:t xml:space="preserve">service is organised, different workplace cultures, access to training, and availability of professional support are </w:t>
      </w:r>
      <w:r>
        <w:t xml:space="preserve">some </w:t>
      </w:r>
      <w:r w:rsidRPr="00115D36">
        <w:t xml:space="preserve">of the factors that may affect how </w:t>
      </w:r>
      <w:r>
        <w:t xml:space="preserve">our guidance is </w:t>
      </w:r>
      <w:r w:rsidRPr="00115D36">
        <w:t xml:space="preserve">put into practice. </w:t>
      </w:r>
    </w:p>
    <w:p w14:paraId="331E72D2" w14:textId="77777777" w:rsidR="006A7F97" w:rsidRDefault="006A7F97" w:rsidP="006A7F97">
      <w:pPr>
        <w:rPr>
          <w:b/>
        </w:rPr>
      </w:pPr>
      <w:r w:rsidRPr="00C44DCC">
        <w:rPr>
          <w:b/>
        </w:rPr>
        <w:t>We want to understand</w:t>
      </w:r>
      <w:r>
        <w:rPr>
          <w:b/>
        </w:rPr>
        <w:t xml:space="preserve"> more about the factors that make it difficult (barriers) or easier (enablers) for medical professionals, in different roles and environments, to work in line with our standards. </w:t>
      </w:r>
    </w:p>
    <w:p w14:paraId="3227A461" w14:textId="77777777" w:rsidR="006A7F97" w:rsidRPr="00776CC6" w:rsidRDefault="2CD62766" w:rsidP="006A7F97">
      <w:pPr>
        <w:pStyle w:val="GMCNumbertext"/>
        <w:numPr>
          <w:ilvl w:val="0"/>
          <w:numId w:val="1"/>
        </w:numPr>
      </w:pPr>
      <w:r>
        <w:t xml:space="preserve">Comments on barriers  </w:t>
      </w:r>
    </w:p>
    <w:tbl>
      <w:tblPr>
        <w:tblStyle w:val="TableGrid"/>
        <w:tblW w:w="0" w:type="auto"/>
        <w:tblLook w:val="04A0" w:firstRow="1" w:lastRow="0" w:firstColumn="1" w:lastColumn="0" w:noHBand="0" w:noVBand="1"/>
      </w:tblPr>
      <w:tblGrid>
        <w:gridCol w:w="9629"/>
      </w:tblGrid>
      <w:tr w:rsidR="006A7F97" w14:paraId="7CBA12B7" w14:textId="77777777" w:rsidTr="5305D027">
        <w:tc>
          <w:tcPr>
            <w:tcW w:w="9629" w:type="dxa"/>
          </w:tcPr>
          <w:p w14:paraId="131A8DAE" w14:textId="7BFA18C3" w:rsidR="006A7F97" w:rsidRDefault="00810B81" w:rsidP="003612D4">
            <w:r w:rsidRPr="00810B81">
              <w:t xml:space="preserve">There may be some challenges in relation to providing supporting information (SI) for revalidation for the large minority of doctors who do not </w:t>
            </w:r>
            <w:r w:rsidR="007A3660">
              <w:t>directly engage with</w:t>
            </w:r>
            <w:r w:rsidRPr="00810B81">
              <w:t xml:space="preserve"> patients</w:t>
            </w:r>
            <w:r w:rsidR="00445AC7">
              <w:t>,</w:t>
            </w:r>
            <w:r w:rsidRPr="00810B81">
              <w:t xml:space="preserve"> depending on how the GMC integrate</w:t>
            </w:r>
            <w:r w:rsidR="00445AC7">
              <w:t>s</w:t>
            </w:r>
            <w:r w:rsidRPr="00810B81">
              <w:t xml:space="preserve"> this new document into </w:t>
            </w:r>
            <w:r w:rsidR="00445AC7">
              <w:t>its</w:t>
            </w:r>
            <w:r w:rsidRPr="00810B81">
              <w:t xml:space="preserve"> current requirements</w:t>
            </w:r>
            <w:r w:rsidR="00236B5C">
              <w:t xml:space="preserve"> for revalidation</w:t>
            </w:r>
            <w:r w:rsidRPr="00810B81">
              <w:t xml:space="preserve"> or if it </w:t>
            </w:r>
            <w:r w:rsidR="00445AC7">
              <w:t xml:space="preserve">used </w:t>
            </w:r>
            <w:r w:rsidRPr="00810B81">
              <w:t xml:space="preserve">as an opportunity for change. </w:t>
            </w:r>
          </w:p>
        </w:tc>
      </w:tr>
    </w:tbl>
    <w:p w14:paraId="096CF3C4" w14:textId="77777777" w:rsidR="006A7F97" w:rsidRDefault="006A7F97" w:rsidP="006A7F97"/>
    <w:p w14:paraId="33D04E4A" w14:textId="77777777" w:rsidR="006A7F97" w:rsidRPr="00776CC6" w:rsidRDefault="2CD62766" w:rsidP="006A7F97">
      <w:pPr>
        <w:pStyle w:val="GMCNumbertext"/>
        <w:numPr>
          <w:ilvl w:val="0"/>
          <w:numId w:val="1"/>
        </w:numPr>
      </w:pPr>
      <w:r>
        <w:t xml:space="preserve">Comments on enablers  </w:t>
      </w:r>
    </w:p>
    <w:tbl>
      <w:tblPr>
        <w:tblStyle w:val="TableGrid"/>
        <w:tblW w:w="0" w:type="auto"/>
        <w:tblLook w:val="04A0" w:firstRow="1" w:lastRow="0" w:firstColumn="1" w:lastColumn="0" w:noHBand="0" w:noVBand="1"/>
      </w:tblPr>
      <w:tblGrid>
        <w:gridCol w:w="9629"/>
      </w:tblGrid>
      <w:tr w:rsidR="006A7F97" w14:paraId="2F1D12C3" w14:textId="77777777" w:rsidTr="00B93F1B">
        <w:tc>
          <w:tcPr>
            <w:tcW w:w="9629" w:type="dxa"/>
          </w:tcPr>
          <w:p w14:paraId="2F11379A" w14:textId="66A54356" w:rsidR="003612D4" w:rsidRDefault="003612D4" w:rsidP="003612D4">
            <w:pPr>
              <w:pStyle w:val="GMCNumbertext"/>
              <w:numPr>
                <w:ilvl w:val="0"/>
                <w:numId w:val="0"/>
              </w:numPr>
            </w:pPr>
            <w:r w:rsidRPr="00810B81">
              <w:t xml:space="preserve">Currently the GMC expects </w:t>
            </w:r>
            <w:r>
              <w:t xml:space="preserve">all </w:t>
            </w:r>
            <w:r w:rsidRPr="00810B81">
              <w:t>doctors to provide S</w:t>
            </w:r>
            <w:r>
              <w:t xml:space="preserve">upporting </w:t>
            </w:r>
            <w:r w:rsidRPr="00810B81">
              <w:t>I</w:t>
            </w:r>
            <w:r>
              <w:t>nformation</w:t>
            </w:r>
            <w:r w:rsidRPr="00810B81">
              <w:t xml:space="preserve"> against each domain and attribute/subheading in Good Medical Practice</w:t>
            </w:r>
            <w:r>
              <w:t xml:space="preserve"> and this is difficult for those doctors who don’t work with individual patients. It would be easier to “work in line with </w:t>
            </w:r>
            <w:r>
              <w:lastRenderedPageBreak/>
              <w:t>(these) standards”, being guided by the broader principles and applying the guidance contained in individual paragraphs when this was relevant to the “particular role and environment”.</w:t>
            </w:r>
          </w:p>
          <w:p w14:paraId="7CA7094F" w14:textId="77777777" w:rsidR="006A7F97" w:rsidRDefault="006A7F97" w:rsidP="003612D4">
            <w:pPr>
              <w:pStyle w:val="GMCNumbertext"/>
              <w:numPr>
                <w:ilvl w:val="0"/>
                <w:numId w:val="0"/>
              </w:numPr>
            </w:pPr>
          </w:p>
        </w:tc>
      </w:tr>
    </w:tbl>
    <w:p w14:paraId="09658E72" w14:textId="77777777" w:rsidR="006A7F97" w:rsidRPr="00115D36" w:rsidRDefault="006A7F97" w:rsidP="006A7F97"/>
    <w:p w14:paraId="18166975" w14:textId="77777777" w:rsidR="006A7F97" w:rsidRDefault="006A7F97" w:rsidP="006A7F97">
      <w:r w:rsidRPr="00115D36">
        <w:t xml:space="preserve">We’re keen to find out how </w:t>
      </w:r>
      <w:r>
        <w:t>we c</w:t>
      </w:r>
      <w:r w:rsidRPr="00115D36">
        <w:t xml:space="preserve">an better support individual doctors, </w:t>
      </w:r>
      <w:r>
        <w:t xml:space="preserve">PAs and </w:t>
      </w:r>
      <w:r w:rsidRPr="00115D36">
        <w:t>AAs to know about and feel confident</w:t>
      </w:r>
      <w:r>
        <w:t xml:space="preserve"> </w:t>
      </w:r>
      <w:r w:rsidRPr="00115D36">
        <w:t xml:space="preserve">to apply </w:t>
      </w:r>
      <w:r>
        <w:t>the updated guidance</w:t>
      </w:r>
      <w:r w:rsidRPr="00115D36">
        <w:t xml:space="preserve">. For example, </w:t>
      </w:r>
      <w:r>
        <w:t xml:space="preserve">are there </w:t>
      </w:r>
      <w:r w:rsidRPr="00115D36">
        <w:t>particular standards that may be challenging to apply in some areas of practice</w:t>
      </w:r>
      <w:r>
        <w:t xml:space="preserve">? </w:t>
      </w:r>
      <w:r w:rsidRPr="00C44DCC">
        <w:rPr>
          <w:b/>
          <w:bCs/>
        </w:rPr>
        <w:t xml:space="preserve">We want to </w:t>
      </w:r>
      <w:r>
        <w:rPr>
          <w:b/>
          <w:bCs/>
        </w:rPr>
        <w:t>hear your feedback on any</w:t>
      </w:r>
      <w:r w:rsidRPr="00C44DCC">
        <w:rPr>
          <w:b/>
          <w:bCs/>
        </w:rPr>
        <w:t xml:space="preserve"> additional practical support that individuals might need </w:t>
      </w:r>
      <w:r>
        <w:rPr>
          <w:b/>
          <w:bCs/>
        </w:rPr>
        <w:t>from us</w:t>
      </w:r>
      <w:r w:rsidRPr="00C44DCC">
        <w:rPr>
          <w:b/>
          <w:bCs/>
        </w:rPr>
        <w:t>.</w:t>
      </w:r>
    </w:p>
    <w:p w14:paraId="2ED87044" w14:textId="77777777" w:rsidR="006A7F97" w:rsidRDefault="2CD62766" w:rsidP="006A7F97">
      <w:pPr>
        <w:pStyle w:val="GMCNumbertext"/>
        <w:numPr>
          <w:ilvl w:val="0"/>
          <w:numId w:val="1"/>
        </w:numPr>
      </w:pPr>
      <w:r>
        <w:t xml:space="preserve">Comments on additional practical support </w:t>
      </w:r>
    </w:p>
    <w:tbl>
      <w:tblPr>
        <w:tblStyle w:val="TableGrid"/>
        <w:tblW w:w="0" w:type="auto"/>
        <w:tblLook w:val="04A0" w:firstRow="1" w:lastRow="0" w:firstColumn="1" w:lastColumn="0" w:noHBand="0" w:noVBand="1"/>
      </w:tblPr>
      <w:tblGrid>
        <w:gridCol w:w="9629"/>
      </w:tblGrid>
      <w:tr w:rsidR="006A7F97" w14:paraId="79FD6249" w14:textId="77777777" w:rsidTr="5305D027">
        <w:tc>
          <w:tcPr>
            <w:tcW w:w="9629" w:type="dxa"/>
          </w:tcPr>
          <w:p w14:paraId="7FB362A4" w14:textId="51ECBCD8" w:rsidR="006A7F97" w:rsidRDefault="006A7F97" w:rsidP="00B93F1B"/>
          <w:p w14:paraId="1FDC21DE" w14:textId="77777777" w:rsidR="006A7F97" w:rsidRDefault="006A7F97" w:rsidP="00B93F1B"/>
          <w:p w14:paraId="5B0C17E4" w14:textId="77777777" w:rsidR="006A7F97" w:rsidRDefault="006A7F97" w:rsidP="00B93F1B"/>
        </w:tc>
      </w:tr>
    </w:tbl>
    <w:p w14:paraId="08B09045" w14:textId="77777777" w:rsidR="006A7F97" w:rsidRPr="00115D36" w:rsidRDefault="006A7F97" w:rsidP="006A7F97"/>
    <w:p w14:paraId="789B6361" w14:textId="2853F888" w:rsidR="006A7F97" w:rsidRPr="006550E7" w:rsidRDefault="006A7F97" w:rsidP="006A7F97">
      <w:r w:rsidRPr="006550E7">
        <w:t xml:space="preserve">We’d like to find out how we can more effectively </w:t>
      </w:r>
      <w:r>
        <w:t>work with</w:t>
      </w:r>
      <w:r w:rsidRPr="006550E7">
        <w:t xml:space="preserve"> </w:t>
      </w:r>
      <w:r>
        <w:t>the people and organisations</w:t>
      </w:r>
      <w:r w:rsidRPr="006550E7">
        <w:t xml:space="preserve"> who have</w:t>
      </w:r>
      <w:r>
        <w:t xml:space="preserve"> the greatest</w:t>
      </w:r>
      <w:r w:rsidRPr="006550E7">
        <w:t xml:space="preserve"> influence on medical professionals’ everyday practice. This could be peers, more senior colleagues, employers, or organisations that professionals turn to for advice. </w:t>
      </w:r>
      <w:r w:rsidRPr="00CF3D8A">
        <w:rPr>
          <w:b/>
          <w:bCs/>
        </w:rPr>
        <w:t>We’re keen to hear about specific ideas or local, regional or national opportunities for us to engage these influencers.</w:t>
      </w:r>
      <w:r w:rsidR="00CF3D8A">
        <w:rPr>
          <w:b/>
          <w:bCs/>
        </w:rPr>
        <w:t xml:space="preserve"> </w:t>
      </w:r>
    </w:p>
    <w:p w14:paraId="7C4088E7" w14:textId="77777777" w:rsidR="006A7F97" w:rsidRPr="00100DE2" w:rsidRDefault="5305D027" w:rsidP="006A7F97">
      <w:pPr>
        <w:pStyle w:val="GMCNumbertext"/>
        <w:rPr>
          <w:lang w:eastAsia="en-GB"/>
        </w:rPr>
      </w:pPr>
      <w:r w:rsidRPr="5305D027">
        <w:rPr>
          <w:lang w:eastAsia="en-GB"/>
        </w:rPr>
        <w:t xml:space="preserve">Comments on opportunities </w:t>
      </w:r>
    </w:p>
    <w:tbl>
      <w:tblPr>
        <w:tblStyle w:val="TableGrid"/>
        <w:tblW w:w="0" w:type="auto"/>
        <w:tblLook w:val="04A0" w:firstRow="1" w:lastRow="0" w:firstColumn="1" w:lastColumn="0" w:noHBand="0" w:noVBand="1"/>
      </w:tblPr>
      <w:tblGrid>
        <w:gridCol w:w="9629"/>
      </w:tblGrid>
      <w:tr w:rsidR="006A7F97" w14:paraId="57FA0C1A" w14:textId="77777777" w:rsidTr="00B93F1B">
        <w:tc>
          <w:tcPr>
            <w:tcW w:w="13950" w:type="dxa"/>
          </w:tcPr>
          <w:p w14:paraId="52D1121C" w14:textId="4C43B101" w:rsidR="006A7F97" w:rsidRDefault="00DD165A" w:rsidP="00B93F1B">
            <w:pPr>
              <w:spacing w:after="0" w:line="240" w:lineRule="auto"/>
            </w:pPr>
            <w:r>
              <w:t xml:space="preserve">FPM would be happy to facilitate </w:t>
            </w:r>
            <w:r w:rsidR="00FB7F07">
              <w:t>increased awareness of the publication of an updated GMP document</w:t>
            </w:r>
            <w:r w:rsidR="007A3660">
              <w:t xml:space="preserve"> amongst our membership and beyond, with their colleagues and employers</w:t>
            </w:r>
            <w:r w:rsidR="00FB7F07">
              <w:t xml:space="preserve">. </w:t>
            </w:r>
            <w:r w:rsidR="009B5C71">
              <w:t>Many pharmaceutical physicians undergo revalidation with the FPM, but we also have member</w:t>
            </w:r>
            <w:r w:rsidR="00414F02">
              <w:t>s</w:t>
            </w:r>
            <w:r w:rsidR="009B5C71">
              <w:t xml:space="preserve"> who revalidate with their employing companies.</w:t>
            </w:r>
          </w:p>
          <w:p w14:paraId="39A3B240" w14:textId="77777777" w:rsidR="006A7F97" w:rsidRDefault="006A7F97" w:rsidP="00B93F1B">
            <w:pPr>
              <w:spacing w:after="0" w:line="240" w:lineRule="auto"/>
            </w:pPr>
          </w:p>
        </w:tc>
      </w:tr>
    </w:tbl>
    <w:p w14:paraId="2EAF2CE5" w14:textId="77777777" w:rsidR="006A7F97" w:rsidRDefault="006A7F97" w:rsidP="006A7F97">
      <w:pPr>
        <w:spacing w:after="0" w:line="240" w:lineRule="auto"/>
        <w:rPr>
          <w:rFonts w:cs="Arial"/>
          <w:b/>
          <w:bCs/>
          <w:color w:val="30A5BE"/>
          <w:kern w:val="32"/>
          <w:sz w:val="40"/>
          <w:szCs w:val="32"/>
        </w:rPr>
      </w:pPr>
    </w:p>
    <w:p w14:paraId="2F890A01" w14:textId="28A30109" w:rsidR="006A7F97" w:rsidRDefault="006A7F97">
      <w:pPr>
        <w:spacing w:after="0" w:line="240" w:lineRule="auto"/>
        <w:rPr>
          <w:bCs/>
          <w:iCs/>
          <w:color w:val="00377B"/>
          <w:kern w:val="32"/>
          <w:sz w:val="32"/>
          <w:szCs w:val="28"/>
        </w:rPr>
      </w:pPr>
      <w:r>
        <w:rPr>
          <w:bCs/>
          <w:iCs/>
          <w:color w:val="00377B"/>
          <w:kern w:val="32"/>
          <w:sz w:val="32"/>
          <w:szCs w:val="28"/>
        </w:rPr>
        <w:br w:type="page"/>
      </w:r>
    </w:p>
    <w:p w14:paraId="05EF04C9" w14:textId="77777777" w:rsidR="005719D5" w:rsidRPr="00325CEC" w:rsidRDefault="005719D5" w:rsidP="005719D5">
      <w:pPr>
        <w:pStyle w:val="Heading1"/>
        <w:rPr>
          <w:lang w:val="en" w:eastAsia="en-GB"/>
        </w:rPr>
      </w:pPr>
      <w:r w:rsidRPr="00325CEC">
        <w:rPr>
          <w:lang w:val="en" w:eastAsia="en-GB"/>
        </w:rPr>
        <w:lastRenderedPageBreak/>
        <w:t>Your personal information</w:t>
      </w:r>
    </w:p>
    <w:p w14:paraId="3D975781" w14:textId="77777777" w:rsidR="005719D5" w:rsidRPr="009D2D7C" w:rsidRDefault="005719D5" w:rsidP="005719D5">
      <w:pPr>
        <w:spacing w:after="0" w:line="240" w:lineRule="auto"/>
        <w:rPr>
          <w:rFonts w:cs="Tahoma"/>
          <w:color w:val="auto"/>
          <w:lang w:val="en" w:eastAsia="en-GB"/>
        </w:rPr>
      </w:pPr>
      <w:r>
        <w:rPr>
          <w:rFonts w:cs="Tahoma"/>
          <w:color w:val="auto"/>
          <w:lang w:val="en" w:eastAsia="en-GB"/>
        </w:rPr>
        <w:t xml:space="preserve">We will process your data in line with the </w:t>
      </w:r>
      <w:r w:rsidRPr="00142969">
        <w:rPr>
          <w:rFonts w:cs="Tahoma"/>
          <w:i/>
          <w:iCs/>
          <w:color w:val="auto"/>
          <w:lang w:val="en" w:eastAsia="en-GB"/>
        </w:rPr>
        <w:t>General Data Protection Regulation</w:t>
      </w:r>
      <w:r>
        <w:rPr>
          <w:rFonts w:cs="Tahoma"/>
          <w:color w:val="auto"/>
          <w:lang w:val="en" w:eastAsia="en-GB"/>
        </w:rPr>
        <w:t xml:space="preserve">. </w:t>
      </w:r>
      <w:hyperlink r:id="rId27" w:tgtFrame="_blank" w:history="1">
        <w:r>
          <w:rPr>
            <w:rStyle w:val="Hyperlink"/>
            <w:rFonts w:cs="Tahoma"/>
            <w:color w:val="0A458B"/>
            <w:lang w:val="en" w:eastAsia="en-GB"/>
          </w:rPr>
          <w:t>Our privacy and cookies policies</w:t>
        </w:r>
      </w:hyperlink>
      <w:r>
        <w:rPr>
          <w:rStyle w:val="FootnoteReference"/>
          <w:rFonts w:cs="Tahoma"/>
          <w:color w:val="0A458B"/>
          <w:lang w:val="en" w:eastAsia="en-GB"/>
        </w:rPr>
        <w:footnoteReference w:id="10"/>
      </w:r>
      <w:r>
        <w:rPr>
          <w:rFonts w:cs="Tahoma"/>
          <w:color w:val="333333"/>
          <w:lang w:val="en" w:eastAsia="en-GB"/>
        </w:rPr>
        <w:t xml:space="preserve"> </w:t>
      </w:r>
      <w:r>
        <w:rPr>
          <w:rFonts w:cs="Tahoma"/>
          <w:color w:val="auto"/>
          <w:lang w:val="en" w:eastAsia="en-GB"/>
        </w:rPr>
        <w:t>explain how your data will be used, how cookies will be set and how to control or delete them.</w:t>
      </w:r>
    </w:p>
    <w:p w14:paraId="7204CA73" w14:textId="77777777" w:rsidR="005719D5" w:rsidRPr="009D2D7C" w:rsidRDefault="005719D5" w:rsidP="005719D5">
      <w:pPr>
        <w:spacing w:after="0" w:line="240" w:lineRule="auto"/>
        <w:rPr>
          <w:rFonts w:cs="Tahoma"/>
          <w:color w:val="auto"/>
          <w:lang w:val="en" w:eastAsia="en-GB"/>
        </w:rPr>
      </w:pPr>
    </w:p>
    <w:p w14:paraId="3CD78EC5" w14:textId="77777777" w:rsidR="005719D5" w:rsidRDefault="005719D5" w:rsidP="005719D5">
      <w:pPr>
        <w:spacing w:after="0" w:line="240" w:lineRule="auto"/>
        <w:rPr>
          <w:rFonts w:cs="Tahoma"/>
          <w:color w:val="auto"/>
          <w:lang w:val="en" w:eastAsia="en-GB"/>
        </w:rPr>
      </w:pPr>
      <w:r>
        <w:rPr>
          <w:rFonts w:cs="Tahoma"/>
          <w:color w:val="auto"/>
          <w:lang w:val="en" w:eastAsia="en-GB"/>
        </w:rPr>
        <w:t xml:space="preserve">At the end of the consultation process, we will publish reports explaining our findings and conclusions. We won’t include any personally identifiable information in these reports, but may include illustrative quotes from consultation responses. We may also provide responses to third parties for quality assurance or to approved research projects, which are </w:t>
      </w:r>
      <w:proofErr w:type="spellStart"/>
      <w:r>
        <w:rPr>
          <w:rFonts w:cs="Tahoma"/>
          <w:color w:val="auto"/>
          <w:lang w:val="en" w:eastAsia="en-GB"/>
        </w:rPr>
        <w:t>anonymised</w:t>
      </w:r>
      <w:proofErr w:type="spellEnd"/>
      <w:r>
        <w:rPr>
          <w:rFonts w:cs="Tahoma"/>
          <w:color w:val="auto"/>
          <w:lang w:val="en" w:eastAsia="en-GB"/>
        </w:rPr>
        <w:t xml:space="preserve"> before disclosure where possible.</w:t>
      </w:r>
    </w:p>
    <w:p w14:paraId="348CF21C" w14:textId="77777777" w:rsidR="005719D5" w:rsidRPr="009D2D7C" w:rsidRDefault="005719D5" w:rsidP="005719D5">
      <w:pPr>
        <w:pStyle w:val="Heading2"/>
        <w:rPr>
          <w:lang w:val="en"/>
        </w:rPr>
      </w:pPr>
      <w:r w:rsidRPr="009D2D7C">
        <w:rPr>
          <w:lang w:val="en"/>
        </w:rPr>
        <w:t xml:space="preserve">Freedom of </w:t>
      </w:r>
      <w:r>
        <w:rPr>
          <w:lang w:val="en"/>
        </w:rPr>
        <w:t>i</w:t>
      </w:r>
      <w:r w:rsidRPr="009D2D7C">
        <w:rPr>
          <w:lang w:val="en"/>
        </w:rPr>
        <w:t>nformation</w:t>
      </w:r>
    </w:p>
    <w:p w14:paraId="1E30EE25" w14:textId="77777777" w:rsidR="005719D5" w:rsidRDefault="005719D5" w:rsidP="005719D5">
      <w:pPr>
        <w:spacing w:after="0" w:line="240" w:lineRule="auto"/>
        <w:rPr>
          <w:rFonts w:cs="Tahoma"/>
          <w:color w:val="auto"/>
          <w:lang w:val="en"/>
        </w:rPr>
      </w:pPr>
      <w:r>
        <w:rPr>
          <w:rFonts w:cs="Tahoma"/>
          <w:color w:val="auto"/>
          <w:lang w:val="en"/>
        </w:rPr>
        <w:t xml:space="preserve">Your response to this consultation may be subject to disclosure under the </w:t>
      </w:r>
      <w:r>
        <w:rPr>
          <w:rFonts w:cs="Tahoma"/>
          <w:i/>
          <w:color w:val="auto"/>
          <w:lang w:val="en"/>
        </w:rPr>
        <w:t>Freedom of Information Act 2000</w:t>
      </w:r>
      <w:r>
        <w:rPr>
          <w:rFonts w:cs="Tahoma"/>
          <w:color w:val="auto"/>
          <w:lang w:val="en"/>
        </w:rPr>
        <w:t xml:space="preserve">, which allows public access to information we hold. This doesn’t necessarily mean your response will be made available to the public, as there are exemptions relating to information given in confidence and information to which the </w:t>
      </w:r>
      <w:r w:rsidRPr="00142969">
        <w:rPr>
          <w:rFonts w:cs="Tahoma"/>
          <w:i/>
          <w:iCs/>
          <w:color w:val="auto"/>
          <w:lang w:val="en"/>
        </w:rPr>
        <w:t>General Data Protection Regulation</w:t>
      </w:r>
      <w:r>
        <w:rPr>
          <w:rFonts w:cs="Tahoma"/>
          <w:color w:val="auto"/>
          <w:lang w:val="en"/>
        </w:rPr>
        <w:t xml:space="preserve"> applies.</w:t>
      </w:r>
    </w:p>
    <w:p w14:paraId="562CD057" w14:textId="77777777" w:rsidR="005719D5" w:rsidRPr="009D2D7C" w:rsidRDefault="005719D5" w:rsidP="005719D5">
      <w:pPr>
        <w:spacing w:after="0" w:line="240" w:lineRule="auto"/>
        <w:rPr>
          <w:rFonts w:cs="Tahoma"/>
          <w:color w:val="auto"/>
          <w:lang w:val="en"/>
        </w:rPr>
      </w:pPr>
    </w:p>
    <w:p w14:paraId="10417DB7" w14:textId="77777777" w:rsidR="005719D5" w:rsidRDefault="005719D5" w:rsidP="005719D5">
      <w:pPr>
        <w:spacing w:after="0" w:line="240" w:lineRule="auto"/>
        <w:rPr>
          <w:rFonts w:cs="Tahoma"/>
          <w:color w:val="auto"/>
          <w:lang w:val="en"/>
        </w:rPr>
      </w:pPr>
      <w:r w:rsidRPr="009D2D7C">
        <w:rPr>
          <w:rFonts w:cs="Tahoma"/>
          <w:color w:val="auto"/>
          <w:lang w:val="en"/>
        </w:rPr>
        <w:t>Would you like your response to be treated as confidential</w:t>
      </w:r>
      <w:r>
        <w:rPr>
          <w:rFonts w:cs="Tahoma"/>
          <w:color w:val="auto"/>
          <w:lang w:val="en"/>
        </w:rPr>
        <w:t xml:space="preserve">? </w:t>
      </w:r>
    </w:p>
    <w:p w14:paraId="3B807C5E" w14:textId="77777777" w:rsidR="005719D5" w:rsidRDefault="005719D5" w:rsidP="005719D5">
      <w:pPr>
        <w:spacing w:after="0" w:line="240" w:lineRule="auto"/>
        <w:rPr>
          <w:rFonts w:cs="Tahoma"/>
          <w:color w:val="auto"/>
          <w:lang w:val="en"/>
        </w:rPr>
      </w:pPr>
    </w:p>
    <w:p w14:paraId="4B300667" w14:textId="0E727145" w:rsidR="005719D5" w:rsidRDefault="007605B6" w:rsidP="005719D5">
      <w:pPr>
        <w:rPr>
          <w:lang w:val="en"/>
        </w:rPr>
      </w:pPr>
      <w:r>
        <w:rPr>
          <w:rFonts w:ascii="MS Gothic" w:eastAsia="MS Gothic" w:hAnsi="MS Gothic" w:cs="Wingdings-Regular" w:hint="eastAsia"/>
          <w:color w:val="auto"/>
          <w:lang w:eastAsia="en-GB"/>
        </w:rPr>
        <w:t>☐</w:t>
      </w:r>
      <w:r w:rsidR="005719D5">
        <w:rPr>
          <w:lang w:val="en"/>
        </w:rPr>
        <w:t>Yes</w:t>
      </w:r>
      <w:r w:rsidR="005719D5">
        <w:rPr>
          <w:lang w:val="en"/>
        </w:rPr>
        <w:tab/>
      </w:r>
      <w:r w:rsidR="005719D5">
        <w:rPr>
          <w:lang w:val="en"/>
        </w:rPr>
        <w:tab/>
      </w:r>
      <w:r>
        <w:rPr>
          <w:rFonts w:ascii="MS Gothic" w:eastAsia="MS Gothic" w:hAnsi="MS Gothic" w:hint="eastAsia"/>
          <w:lang w:val="en"/>
        </w:rPr>
        <w:t>☐</w:t>
      </w:r>
      <w:r w:rsidR="005719D5">
        <w:rPr>
          <w:lang w:val="en"/>
        </w:rPr>
        <w:t>No</w:t>
      </w:r>
    </w:p>
    <w:p w14:paraId="0C72789C" w14:textId="77777777" w:rsidR="005719D5" w:rsidRPr="009D2D7C" w:rsidRDefault="005719D5" w:rsidP="005719D5">
      <w:pPr>
        <w:spacing w:after="0" w:line="240" w:lineRule="auto"/>
        <w:rPr>
          <w:rFonts w:cs="Tahoma"/>
          <w:color w:val="333333"/>
          <w:lang w:val="en"/>
        </w:rPr>
      </w:pPr>
    </w:p>
    <w:p w14:paraId="1E89AE53" w14:textId="77777777" w:rsidR="005719D5" w:rsidRPr="009D2D7C" w:rsidRDefault="005719D5" w:rsidP="005719D5">
      <w:pPr>
        <w:spacing w:after="0" w:line="240" w:lineRule="auto"/>
        <w:rPr>
          <w:rFonts w:cs="Tahoma"/>
          <w:color w:val="auto"/>
          <w:lang w:val="en"/>
        </w:rPr>
      </w:pPr>
      <w:r>
        <w:rPr>
          <w:rFonts w:cs="Tahoma"/>
          <w:color w:val="auto"/>
          <w:lang w:val="en"/>
        </w:rPr>
        <w:t>If yes, please also tell us why:</w:t>
      </w:r>
    </w:p>
    <w:p w14:paraId="22F15BBA" w14:textId="77777777" w:rsidR="005719D5" w:rsidRDefault="005719D5" w:rsidP="005719D5">
      <w:pPr>
        <w:spacing w:after="0" w:line="240" w:lineRule="auto"/>
        <w:rPr>
          <w:rFonts w:cs="Tahoma"/>
          <w:color w:val="333333"/>
          <w:lang w:val="en"/>
        </w:rPr>
      </w:pPr>
    </w:p>
    <w:tbl>
      <w:tblPr>
        <w:tblStyle w:val="TableGrid"/>
        <w:tblW w:w="0" w:type="auto"/>
        <w:tblLook w:val="04A0" w:firstRow="1" w:lastRow="0" w:firstColumn="1" w:lastColumn="0" w:noHBand="0" w:noVBand="1"/>
      </w:tblPr>
      <w:tblGrid>
        <w:gridCol w:w="9629"/>
      </w:tblGrid>
      <w:tr w:rsidR="005719D5" w14:paraId="5D961D04" w14:textId="77777777" w:rsidTr="001E1166">
        <w:tc>
          <w:tcPr>
            <w:tcW w:w="9855" w:type="dxa"/>
          </w:tcPr>
          <w:p w14:paraId="2058C38B" w14:textId="231D4C28" w:rsidR="005719D5" w:rsidRDefault="005719D5" w:rsidP="001E1166">
            <w:pPr>
              <w:spacing w:after="0" w:line="240" w:lineRule="auto"/>
              <w:rPr>
                <w:rFonts w:cs="Tahoma"/>
                <w:color w:val="333333"/>
                <w:lang w:val="en"/>
              </w:rPr>
            </w:pPr>
          </w:p>
          <w:p w14:paraId="08525E3A" w14:textId="77777777" w:rsidR="005719D5" w:rsidRDefault="005719D5" w:rsidP="001E1166">
            <w:pPr>
              <w:spacing w:after="0" w:line="240" w:lineRule="auto"/>
              <w:rPr>
                <w:rFonts w:cs="Tahoma"/>
                <w:color w:val="333333"/>
                <w:lang w:val="en"/>
              </w:rPr>
            </w:pPr>
          </w:p>
          <w:p w14:paraId="5AF5896C" w14:textId="77777777" w:rsidR="005719D5" w:rsidRDefault="005719D5" w:rsidP="001E1166">
            <w:pPr>
              <w:spacing w:after="0" w:line="240" w:lineRule="auto"/>
              <w:rPr>
                <w:rFonts w:cs="Tahoma"/>
                <w:color w:val="333333"/>
                <w:lang w:val="en"/>
              </w:rPr>
            </w:pPr>
          </w:p>
          <w:p w14:paraId="18A5D079" w14:textId="77777777" w:rsidR="005719D5" w:rsidRDefault="005719D5" w:rsidP="001E1166">
            <w:pPr>
              <w:spacing w:after="0" w:line="240" w:lineRule="auto"/>
              <w:rPr>
                <w:rFonts w:cs="Tahoma"/>
                <w:color w:val="333333"/>
                <w:lang w:val="en"/>
              </w:rPr>
            </w:pPr>
          </w:p>
          <w:p w14:paraId="2C3B7C70" w14:textId="77777777" w:rsidR="005719D5" w:rsidRDefault="005719D5" w:rsidP="001E1166">
            <w:pPr>
              <w:spacing w:after="0" w:line="240" w:lineRule="auto"/>
              <w:rPr>
                <w:rFonts w:cs="Tahoma"/>
                <w:color w:val="333333"/>
                <w:lang w:val="en"/>
              </w:rPr>
            </w:pPr>
          </w:p>
          <w:p w14:paraId="01219D4C" w14:textId="77777777" w:rsidR="005719D5" w:rsidRDefault="005719D5" w:rsidP="001E1166">
            <w:pPr>
              <w:spacing w:after="0" w:line="240" w:lineRule="auto"/>
              <w:rPr>
                <w:rFonts w:cs="Tahoma"/>
                <w:color w:val="333333"/>
                <w:lang w:val="en"/>
              </w:rPr>
            </w:pPr>
          </w:p>
          <w:p w14:paraId="019C2077" w14:textId="77777777" w:rsidR="005719D5" w:rsidRDefault="005719D5" w:rsidP="001E1166">
            <w:pPr>
              <w:spacing w:after="0" w:line="240" w:lineRule="auto"/>
              <w:rPr>
                <w:rFonts w:cs="Tahoma"/>
                <w:color w:val="333333"/>
                <w:lang w:val="en"/>
              </w:rPr>
            </w:pPr>
          </w:p>
        </w:tc>
      </w:tr>
    </w:tbl>
    <w:p w14:paraId="62E41919" w14:textId="77777777" w:rsidR="005719D5" w:rsidRDefault="005719D5" w:rsidP="005719D5">
      <w:pPr>
        <w:spacing w:after="0" w:line="240" w:lineRule="auto"/>
      </w:pPr>
    </w:p>
    <w:p w14:paraId="1D4DA0F5" w14:textId="63A3C23A" w:rsidR="006A7F97" w:rsidRPr="00F9715D" w:rsidRDefault="005719D5" w:rsidP="005719D5">
      <w:pPr>
        <w:pStyle w:val="Heading1"/>
      </w:pPr>
      <w:r>
        <w:rPr>
          <w:iCs/>
          <w:color w:val="00377B"/>
          <w:sz w:val="32"/>
          <w:szCs w:val="28"/>
        </w:rPr>
        <w:br w:type="page"/>
      </w:r>
      <w:r w:rsidR="006A7F97" w:rsidRPr="00F9715D">
        <w:lastRenderedPageBreak/>
        <w:t xml:space="preserve">The consultation </w:t>
      </w:r>
      <w:proofErr w:type="gramStart"/>
      <w:r w:rsidR="006A7F97" w:rsidRPr="00F9715D">
        <w:t>process</w:t>
      </w:r>
      <w:proofErr w:type="gramEnd"/>
    </w:p>
    <w:p w14:paraId="4624A24F" w14:textId="77777777" w:rsidR="006A7F97" w:rsidRDefault="006A7F97" w:rsidP="006A7F97">
      <w:r>
        <w:t xml:space="preserve">In this section we’d value your feedback on how easy or difficult it was to respond to this survey. This information helps us continually improve our consultation process. </w:t>
      </w:r>
    </w:p>
    <w:p w14:paraId="0673793C" w14:textId="77777777" w:rsidR="006A7F97" w:rsidRDefault="006A7F97" w:rsidP="006A7F97">
      <w:r>
        <w:t xml:space="preserve">When answering these questions, please think about the survey itself but also the supporting information which was available on our website.   </w:t>
      </w:r>
    </w:p>
    <w:p w14:paraId="16FE9FAF" w14:textId="77777777" w:rsidR="006A7F97" w:rsidRPr="00C465D7" w:rsidRDefault="2CD62766" w:rsidP="006A7F97">
      <w:pPr>
        <w:pStyle w:val="GMCNumbertext"/>
        <w:numPr>
          <w:ilvl w:val="0"/>
          <w:numId w:val="1"/>
        </w:numPr>
      </w:pPr>
      <w:r>
        <w:t xml:space="preserve"> How far do you agree or disagree with these statements?</w:t>
      </w:r>
    </w:p>
    <w:tbl>
      <w:tblPr>
        <w:tblStyle w:val="TableGrid"/>
        <w:tblW w:w="0" w:type="auto"/>
        <w:tblLook w:val="04A0" w:firstRow="1" w:lastRow="0" w:firstColumn="1" w:lastColumn="0" w:noHBand="0" w:noVBand="1"/>
      </w:tblPr>
      <w:tblGrid>
        <w:gridCol w:w="2158"/>
        <w:gridCol w:w="1552"/>
        <w:gridCol w:w="1479"/>
        <w:gridCol w:w="1576"/>
        <w:gridCol w:w="1576"/>
        <w:gridCol w:w="1288"/>
      </w:tblGrid>
      <w:tr w:rsidR="006A7F97" w:rsidRPr="00986BB1" w14:paraId="4C0663CE" w14:textId="77777777" w:rsidTr="00B93F1B">
        <w:tc>
          <w:tcPr>
            <w:tcW w:w="2158" w:type="dxa"/>
          </w:tcPr>
          <w:p w14:paraId="4140A87C" w14:textId="77777777" w:rsidR="006A7F97" w:rsidRPr="00986BB1" w:rsidRDefault="006A7F97" w:rsidP="00B93F1B">
            <w:pPr>
              <w:rPr>
                <w:b/>
                <w:bCs/>
              </w:rPr>
            </w:pPr>
          </w:p>
        </w:tc>
        <w:tc>
          <w:tcPr>
            <w:tcW w:w="1552" w:type="dxa"/>
          </w:tcPr>
          <w:p w14:paraId="688C6174" w14:textId="033D2F18" w:rsidR="006A7F97" w:rsidRPr="00986BB1" w:rsidRDefault="00AA41B6" w:rsidP="00B93F1B">
            <w:pPr>
              <w:rPr>
                <w:b/>
                <w:bCs/>
              </w:rPr>
            </w:pPr>
            <w:r>
              <w:rPr>
                <w:b/>
                <w:bCs/>
              </w:rPr>
              <w:t>S</w:t>
            </w:r>
            <w:r w:rsidR="006A7F97" w:rsidRPr="00986BB1">
              <w:rPr>
                <w:b/>
                <w:bCs/>
              </w:rPr>
              <w:t>trongly</w:t>
            </w:r>
            <w:r>
              <w:rPr>
                <w:b/>
                <w:bCs/>
              </w:rPr>
              <w:t xml:space="preserve"> agree </w:t>
            </w:r>
          </w:p>
        </w:tc>
        <w:tc>
          <w:tcPr>
            <w:tcW w:w="1479" w:type="dxa"/>
          </w:tcPr>
          <w:p w14:paraId="6C83991F" w14:textId="77777777" w:rsidR="006A7F97" w:rsidRPr="00986BB1" w:rsidRDefault="006A7F97" w:rsidP="00B93F1B">
            <w:pPr>
              <w:rPr>
                <w:b/>
                <w:bCs/>
              </w:rPr>
            </w:pPr>
            <w:r w:rsidRPr="00986BB1">
              <w:rPr>
                <w:b/>
                <w:bCs/>
              </w:rPr>
              <w:t>Agree</w:t>
            </w:r>
          </w:p>
        </w:tc>
        <w:tc>
          <w:tcPr>
            <w:tcW w:w="1576" w:type="dxa"/>
          </w:tcPr>
          <w:p w14:paraId="0F962F61" w14:textId="77777777" w:rsidR="006A7F97" w:rsidRPr="00986BB1" w:rsidRDefault="006A7F97" w:rsidP="00B93F1B">
            <w:pPr>
              <w:rPr>
                <w:b/>
                <w:bCs/>
              </w:rPr>
            </w:pPr>
            <w:r w:rsidRPr="00986BB1">
              <w:rPr>
                <w:b/>
                <w:bCs/>
              </w:rPr>
              <w:t xml:space="preserve">Disagree </w:t>
            </w:r>
          </w:p>
        </w:tc>
        <w:tc>
          <w:tcPr>
            <w:tcW w:w="1576" w:type="dxa"/>
          </w:tcPr>
          <w:p w14:paraId="0FA44C1F" w14:textId="290E9EBF" w:rsidR="006A7F97" w:rsidRPr="00986BB1" w:rsidRDefault="00AA41B6" w:rsidP="00B93F1B">
            <w:pPr>
              <w:rPr>
                <w:b/>
                <w:bCs/>
              </w:rPr>
            </w:pPr>
            <w:r>
              <w:rPr>
                <w:b/>
                <w:bCs/>
              </w:rPr>
              <w:t>S</w:t>
            </w:r>
            <w:r w:rsidR="006A7F97" w:rsidRPr="00986BB1">
              <w:rPr>
                <w:b/>
                <w:bCs/>
              </w:rPr>
              <w:t xml:space="preserve">trongly </w:t>
            </w:r>
            <w:r>
              <w:rPr>
                <w:b/>
                <w:bCs/>
              </w:rPr>
              <w:t xml:space="preserve">disagree </w:t>
            </w:r>
          </w:p>
        </w:tc>
        <w:tc>
          <w:tcPr>
            <w:tcW w:w="1288" w:type="dxa"/>
          </w:tcPr>
          <w:p w14:paraId="2D08F75D" w14:textId="77777777" w:rsidR="006A7F97" w:rsidRPr="00986BB1" w:rsidRDefault="006A7F97" w:rsidP="00B93F1B">
            <w:pPr>
              <w:rPr>
                <w:b/>
                <w:bCs/>
              </w:rPr>
            </w:pPr>
            <w:r w:rsidRPr="00986BB1">
              <w:rPr>
                <w:b/>
                <w:bCs/>
              </w:rPr>
              <w:t>Don’t know</w:t>
            </w:r>
          </w:p>
        </w:tc>
      </w:tr>
      <w:tr w:rsidR="006A7F97" w14:paraId="1C94924A" w14:textId="77777777" w:rsidTr="00B93F1B">
        <w:tc>
          <w:tcPr>
            <w:tcW w:w="2158" w:type="dxa"/>
          </w:tcPr>
          <w:p w14:paraId="2C2FB871" w14:textId="77777777" w:rsidR="006A7F97" w:rsidRDefault="006A7F97">
            <w:pPr>
              <w:pStyle w:val="GMCA-Ztext"/>
              <w:numPr>
                <w:ilvl w:val="0"/>
                <w:numId w:val="15"/>
              </w:numPr>
            </w:pPr>
            <w:r>
              <w:t>The proposals were well explained</w:t>
            </w:r>
          </w:p>
        </w:tc>
        <w:tc>
          <w:tcPr>
            <w:tcW w:w="1552" w:type="dxa"/>
          </w:tcPr>
          <w:p w14:paraId="3DC3A264" w14:textId="13B3D10D" w:rsidR="006A7F97" w:rsidRPr="00CE3210" w:rsidRDefault="007605B6" w:rsidP="00B93F1B">
            <w:pPr>
              <w:rPr>
                <w:rFonts w:cs="Tahoma"/>
              </w:rPr>
            </w:pPr>
            <w:r w:rsidRPr="00CE3210">
              <w:rPr>
                <w:rFonts w:ascii="Segoe UI Symbol" w:eastAsia="MS Gothic" w:hAnsi="Segoe UI Symbol" w:cs="Segoe UI Symbol"/>
              </w:rPr>
              <w:t>☐</w:t>
            </w:r>
          </w:p>
        </w:tc>
        <w:tc>
          <w:tcPr>
            <w:tcW w:w="1479" w:type="dxa"/>
          </w:tcPr>
          <w:p w14:paraId="153999EB" w14:textId="3C4AFE6A" w:rsidR="006A7F97" w:rsidRPr="00CE3210" w:rsidRDefault="00BA477F" w:rsidP="00B93F1B">
            <w:pPr>
              <w:rPr>
                <w:rFonts w:cs="Tahoma"/>
              </w:rPr>
            </w:pPr>
            <w:r>
              <w:rPr>
                <w:rFonts w:ascii="Segoe UI Symbol" w:eastAsia="MS Gothic" w:hAnsi="Segoe UI Symbol" w:cs="Segoe UI Symbol"/>
              </w:rPr>
              <w:t>x</w:t>
            </w:r>
          </w:p>
        </w:tc>
        <w:tc>
          <w:tcPr>
            <w:tcW w:w="1576" w:type="dxa"/>
          </w:tcPr>
          <w:p w14:paraId="5DD279B4" w14:textId="41C7F093" w:rsidR="006A7F97" w:rsidRPr="00CE3210" w:rsidRDefault="007605B6" w:rsidP="00B93F1B">
            <w:pPr>
              <w:rPr>
                <w:rFonts w:cs="Tahoma"/>
              </w:rPr>
            </w:pPr>
            <w:r w:rsidRPr="00CE3210">
              <w:rPr>
                <w:rFonts w:ascii="Segoe UI Symbol" w:eastAsia="MS Gothic" w:hAnsi="Segoe UI Symbol" w:cs="Segoe UI Symbol"/>
              </w:rPr>
              <w:t>☐</w:t>
            </w:r>
          </w:p>
        </w:tc>
        <w:tc>
          <w:tcPr>
            <w:tcW w:w="1576" w:type="dxa"/>
          </w:tcPr>
          <w:p w14:paraId="6E93C41B" w14:textId="4C839873" w:rsidR="006A7F97" w:rsidRPr="00CE3210" w:rsidRDefault="007605B6" w:rsidP="00B93F1B">
            <w:pPr>
              <w:rPr>
                <w:rFonts w:cs="Tahoma"/>
              </w:rPr>
            </w:pPr>
            <w:r w:rsidRPr="00CE3210">
              <w:rPr>
                <w:rFonts w:ascii="Segoe UI Symbol" w:eastAsia="MS Gothic" w:hAnsi="Segoe UI Symbol" w:cs="Segoe UI Symbol"/>
              </w:rPr>
              <w:t>☐</w:t>
            </w:r>
          </w:p>
        </w:tc>
        <w:tc>
          <w:tcPr>
            <w:tcW w:w="1288" w:type="dxa"/>
          </w:tcPr>
          <w:p w14:paraId="35D73838" w14:textId="1BFEC7F9" w:rsidR="006A7F97" w:rsidRPr="00CE3210" w:rsidRDefault="007605B6" w:rsidP="00B93F1B">
            <w:pPr>
              <w:rPr>
                <w:rFonts w:cs="Tahoma"/>
              </w:rPr>
            </w:pPr>
            <w:r w:rsidRPr="00CE3210">
              <w:rPr>
                <w:rFonts w:ascii="Segoe UI Symbol" w:eastAsia="MS Gothic" w:hAnsi="Segoe UI Symbol" w:cs="Segoe UI Symbol"/>
              </w:rPr>
              <w:t>☐</w:t>
            </w:r>
          </w:p>
        </w:tc>
      </w:tr>
      <w:tr w:rsidR="006A7F97" w14:paraId="6BC9E042" w14:textId="77777777" w:rsidTr="00B93F1B">
        <w:tc>
          <w:tcPr>
            <w:tcW w:w="2158" w:type="dxa"/>
          </w:tcPr>
          <w:p w14:paraId="0ABCE179" w14:textId="77777777" w:rsidR="006A7F97" w:rsidRDefault="006A7F97">
            <w:pPr>
              <w:pStyle w:val="GMCA-Ztext"/>
              <w:numPr>
                <w:ilvl w:val="0"/>
                <w:numId w:val="15"/>
              </w:numPr>
            </w:pPr>
            <w:r>
              <w:t>The survey was easy to complete</w:t>
            </w:r>
          </w:p>
        </w:tc>
        <w:tc>
          <w:tcPr>
            <w:tcW w:w="1552" w:type="dxa"/>
          </w:tcPr>
          <w:p w14:paraId="0B22A877" w14:textId="116F541E" w:rsidR="006A7F97" w:rsidRPr="00CE3210" w:rsidRDefault="007605B6" w:rsidP="00B93F1B">
            <w:pPr>
              <w:rPr>
                <w:rFonts w:cs="Tahoma"/>
              </w:rPr>
            </w:pPr>
            <w:r w:rsidRPr="00CE3210">
              <w:rPr>
                <w:rFonts w:ascii="Segoe UI Symbol" w:eastAsia="MS Gothic" w:hAnsi="Segoe UI Symbol" w:cs="Segoe UI Symbol"/>
              </w:rPr>
              <w:t>☐</w:t>
            </w:r>
          </w:p>
        </w:tc>
        <w:tc>
          <w:tcPr>
            <w:tcW w:w="1479" w:type="dxa"/>
          </w:tcPr>
          <w:p w14:paraId="4BA597F9" w14:textId="729AE70C" w:rsidR="006A7F97" w:rsidRPr="00CE3210" w:rsidRDefault="007605B6" w:rsidP="00B93F1B">
            <w:pPr>
              <w:rPr>
                <w:rFonts w:cs="Tahoma"/>
              </w:rPr>
            </w:pPr>
            <w:r w:rsidRPr="00CE3210">
              <w:rPr>
                <w:rFonts w:ascii="Segoe UI Symbol" w:eastAsia="MS Gothic" w:hAnsi="Segoe UI Symbol" w:cs="Segoe UI Symbol"/>
              </w:rPr>
              <w:t>☐</w:t>
            </w:r>
          </w:p>
        </w:tc>
        <w:tc>
          <w:tcPr>
            <w:tcW w:w="1576" w:type="dxa"/>
          </w:tcPr>
          <w:p w14:paraId="2AC414E2" w14:textId="24997440" w:rsidR="006A7F97" w:rsidRPr="00CE3210" w:rsidRDefault="00BA477F" w:rsidP="00B93F1B">
            <w:pPr>
              <w:rPr>
                <w:rFonts w:cs="Tahoma"/>
              </w:rPr>
            </w:pPr>
            <w:r>
              <w:rPr>
                <w:rFonts w:ascii="Segoe UI Symbol" w:eastAsia="MS Gothic" w:hAnsi="Segoe UI Symbol" w:cs="Segoe UI Symbol"/>
              </w:rPr>
              <w:t>x</w:t>
            </w:r>
          </w:p>
        </w:tc>
        <w:tc>
          <w:tcPr>
            <w:tcW w:w="1576" w:type="dxa"/>
          </w:tcPr>
          <w:p w14:paraId="3F61EB62" w14:textId="0FDB7EEB" w:rsidR="006A7F97" w:rsidRPr="00CE3210" w:rsidRDefault="007605B6" w:rsidP="00B93F1B">
            <w:pPr>
              <w:rPr>
                <w:rFonts w:cs="Tahoma"/>
              </w:rPr>
            </w:pPr>
            <w:r w:rsidRPr="00CE3210">
              <w:rPr>
                <w:rFonts w:ascii="Segoe UI Symbol" w:eastAsia="MS Gothic" w:hAnsi="Segoe UI Symbol" w:cs="Segoe UI Symbol"/>
              </w:rPr>
              <w:t>☐</w:t>
            </w:r>
          </w:p>
        </w:tc>
        <w:tc>
          <w:tcPr>
            <w:tcW w:w="1288" w:type="dxa"/>
          </w:tcPr>
          <w:p w14:paraId="2A8FDACE" w14:textId="0747688C" w:rsidR="006A7F97" w:rsidRPr="00CE3210" w:rsidRDefault="007605B6" w:rsidP="00B93F1B">
            <w:pPr>
              <w:rPr>
                <w:rFonts w:cs="Tahoma"/>
              </w:rPr>
            </w:pPr>
            <w:r w:rsidRPr="00CE3210">
              <w:rPr>
                <w:rFonts w:ascii="Segoe UI Symbol" w:eastAsia="MS Gothic" w:hAnsi="Segoe UI Symbol" w:cs="Segoe UI Symbol"/>
              </w:rPr>
              <w:t>☐</w:t>
            </w:r>
          </w:p>
        </w:tc>
      </w:tr>
      <w:tr w:rsidR="006A7F97" w14:paraId="01959916" w14:textId="77777777" w:rsidTr="00B93F1B">
        <w:tc>
          <w:tcPr>
            <w:tcW w:w="2158" w:type="dxa"/>
          </w:tcPr>
          <w:p w14:paraId="3AAD327F" w14:textId="77777777" w:rsidR="006A7F97" w:rsidRDefault="006A7F97">
            <w:pPr>
              <w:pStyle w:val="GMCA-Ztext"/>
              <w:numPr>
                <w:ilvl w:val="0"/>
                <w:numId w:val="15"/>
              </w:numPr>
            </w:pPr>
            <w:r>
              <w:t>I felt I was able to express my views</w:t>
            </w:r>
          </w:p>
        </w:tc>
        <w:tc>
          <w:tcPr>
            <w:tcW w:w="1552" w:type="dxa"/>
          </w:tcPr>
          <w:p w14:paraId="217708FB" w14:textId="6CAAC826" w:rsidR="006A7F97" w:rsidRPr="00CE3210" w:rsidRDefault="007605B6" w:rsidP="00B93F1B">
            <w:pPr>
              <w:rPr>
                <w:rFonts w:cs="Tahoma"/>
              </w:rPr>
            </w:pPr>
            <w:r w:rsidRPr="00CE3210">
              <w:rPr>
                <w:rFonts w:ascii="Segoe UI Symbol" w:eastAsia="MS Gothic" w:hAnsi="Segoe UI Symbol" w:cs="Segoe UI Symbol"/>
              </w:rPr>
              <w:t>☐</w:t>
            </w:r>
          </w:p>
        </w:tc>
        <w:tc>
          <w:tcPr>
            <w:tcW w:w="1479" w:type="dxa"/>
          </w:tcPr>
          <w:p w14:paraId="6EA04CAA" w14:textId="338396C6" w:rsidR="006A7F97" w:rsidRPr="00CE3210" w:rsidRDefault="00BA477F" w:rsidP="00B93F1B">
            <w:pPr>
              <w:rPr>
                <w:rFonts w:cs="Tahoma"/>
              </w:rPr>
            </w:pPr>
            <w:r>
              <w:rPr>
                <w:rFonts w:ascii="Segoe UI Symbol" w:eastAsia="MS Gothic" w:hAnsi="Segoe UI Symbol" w:cs="Segoe UI Symbol"/>
              </w:rPr>
              <w:t>x</w:t>
            </w:r>
          </w:p>
        </w:tc>
        <w:tc>
          <w:tcPr>
            <w:tcW w:w="1576" w:type="dxa"/>
          </w:tcPr>
          <w:p w14:paraId="16A9FA8A" w14:textId="143EDE3C" w:rsidR="006A7F97" w:rsidRPr="00CE3210" w:rsidRDefault="007605B6" w:rsidP="00B93F1B">
            <w:pPr>
              <w:rPr>
                <w:rFonts w:cs="Tahoma"/>
              </w:rPr>
            </w:pPr>
            <w:r w:rsidRPr="00CE3210">
              <w:rPr>
                <w:rFonts w:ascii="Segoe UI Symbol" w:eastAsia="MS Gothic" w:hAnsi="Segoe UI Symbol" w:cs="Segoe UI Symbol"/>
              </w:rPr>
              <w:t>☐</w:t>
            </w:r>
          </w:p>
        </w:tc>
        <w:tc>
          <w:tcPr>
            <w:tcW w:w="1576" w:type="dxa"/>
          </w:tcPr>
          <w:p w14:paraId="11FD3F73" w14:textId="069E999A" w:rsidR="006A7F97" w:rsidRPr="00CE3210" w:rsidRDefault="007605B6" w:rsidP="00B93F1B">
            <w:pPr>
              <w:rPr>
                <w:rFonts w:cs="Tahoma"/>
              </w:rPr>
            </w:pPr>
            <w:r w:rsidRPr="00CE3210">
              <w:rPr>
                <w:rFonts w:ascii="Segoe UI Symbol" w:eastAsia="MS Gothic" w:hAnsi="Segoe UI Symbol" w:cs="Segoe UI Symbol"/>
              </w:rPr>
              <w:t>☐</w:t>
            </w:r>
          </w:p>
        </w:tc>
        <w:tc>
          <w:tcPr>
            <w:tcW w:w="1288" w:type="dxa"/>
          </w:tcPr>
          <w:p w14:paraId="3B77E4E9" w14:textId="0338562E" w:rsidR="006A7F97" w:rsidRPr="00CE3210" w:rsidRDefault="007605B6" w:rsidP="00B93F1B">
            <w:pPr>
              <w:rPr>
                <w:rFonts w:cs="Tahoma"/>
              </w:rPr>
            </w:pPr>
            <w:r w:rsidRPr="00CE3210">
              <w:rPr>
                <w:rFonts w:ascii="Segoe UI Symbol" w:eastAsia="MS Gothic" w:hAnsi="Segoe UI Symbol" w:cs="Segoe UI Symbol"/>
              </w:rPr>
              <w:t>☐</w:t>
            </w:r>
          </w:p>
        </w:tc>
      </w:tr>
    </w:tbl>
    <w:p w14:paraId="631E9DAF" w14:textId="77777777" w:rsidR="006A7F97" w:rsidRDefault="006A7F97" w:rsidP="006A7F97"/>
    <w:p w14:paraId="2894215D" w14:textId="77777777" w:rsidR="006A7F97" w:rsidRDefault="006A7F97" w:rsidP="006A7F97">
      <w:r>
        <w:t xml:space="preserve">Please tell us here if you have any comments on this or any other aspect of the consultation process and documentation. </w:t>
      </w:r>
    </w:p>
    <w:p w14:paraId="55D0A31B" w14:textId="77777777" w:rsidR="006A7F97" w:rsidRPr="007623A5" w:rsidRDefault="2CD62766" w:rsidP="006A7F97">
      <w:pPr>
        <w:pStyle w:val="GMCNumbertext"/>
        <w:numPr>
          <w:ilvl w:val="0"/>
          <w:numId w:val="1"/>
        </w:numPr>
      </w:pPr>
      <w:r>
        <w:t>Consultation process comments</w:t>
      </w:r>
    </w:p>
    <w:tbl>
      <w:tblPr>
        <w:tblStyle w:val="TableGrid"/>
        <w:tblW w:w="0" w:type="auto"/>
        <w:tblInd w:w="510" w:type="dxa"/>
        <w:tblLook w:val="04A0" w:firstRow="1" w:lastRow="0" w:firstColumn="1" w:lastColumn="0" w:noHBand="0" w:noVBand="1"/>
      </w:tblPr>
      <w:tblGrid>
        <w:gridCol w:w="9119"/>
      </w:tblGrid>
      <w:tr w:rsidR="006A7F97" w14:paraId="34EF3538" w14:textId="77777777" w:rsidTr="00B93F1B">
        <w:tc>
          <w:tcPr>
            <w:tcW w:w="9855" w:type="dxa"/>
          </w:tcPr>
          <w:p w14:paraId="39019C9D" w14:textId="3EDBB33F" w:rsidR="006A7F97" w:rsidRDefault="00BA477F" w:rsidP="00B93F1B">
            <w:pPr>
              <w:pStyle w:val="GMCNumbertext"/>
              <w:numPr>
                <w:ilvl w:val="0"/>
                <w:numId w:val="0"/>
              </w:numPr>
            </w:pPr>
            <w:r>
              <w:t xml:space="preserve">Not easy to complete due to the extensive nature of the guidance. </w:t>
            </w:r>
            <w:r w:rsidR="00B62C90">
              <w:t>There were some areas of overlap between paragraphs in different Domains and across themes. However, we would find it difficult to offer suggestions on how the process could have been made easier.</w:t>
            </w:r>
          </w:p>
          <w:p w14:paraId="0DE21292" w14:textId="77777777" w:rsidR="006A7F97" w:rsidRDefault="006A7F97" w:rsidP="00B93F1B">
            <w:pPr>
              <w:pStyle w:val="GMCNumbertext"/>
              <w:numPr>
                <w:ilvl w:val="0"/>
                <w:numId w:val="0"/>
              </w:numPr>
            </w:pPr>
          </w:p>
        </w:tc>
      </w:tr>
    </w:tbl>
    <w:p w14:paraId="57D97870" w14:textId="77777777" w:rsidR="006A7F97" w:rsidRDefault="006A7F97" w:rsidP="006A7F97">
      <w:pPr>
        <w:pStyle w:val="GMCNumbertext"/>
        <w:numPr>
          <w:ilvl w:val="0"/>
          <w:numId w:val="0"/>
        </w:numPr>
        <w:ind w:left="510"/>
      </w:pPr>
    </w:p>
    <w:p w14:paraId="4CEE4B63" w14:textId="77777777" w:rsidR="006A7F97" w:rsidRDefault="006A7F97" w:rsidP="006A7F97">
      <w:pPr>
        <w:spacing w:after="0" w:line="240" w:lineRule="auto"/>
      </w:pPr>
      <w:r>
        <w:br w:type="page"/>
      </w:r>
    </w:p>
    <w:p w14:paraId="6CCEE19D" w14:textId="77777777" w:rsidR="006A7F97" w:rsidRDefault="2CD62766" w:rsidP="006A7F97">
      <w:pPr>
        <w:pStyle w:val="GMCNumbertext"/>
        <w:numPr>
          <w:ilvl w:val="0"/>
          <w:numId w:val="1"/>
        </w:numPr>
      </w:pPr>
      <w:r>
        <w:lastRenderedPageBreak/>
        <w:t xml:space="preserve">How did you hear about this consultation? Please select all that apply. </w:t>
      </w:r>
    </w:p>
    <w:p w14:paraId="57B23D45" w14:textId="4827CAAD"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GMC website</w:t>
      </w:r>
    </w:p>
    <w:p w14:paraId="6BE55602" w14:textId="710DEA64"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Another website</w:t>
      </w:r>
    </w:p>
    <w:p w14:paraId="582171AD" w14:textId="0DDC5933"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GMC news ebulletin</w:t>
      </w:r>
    </w:p>
    <w:p w14:paraId="1612E9DE" w14:textId="7E3CCE95"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Other GMC newsletter/ebulletin</w:t>
      </w:r>
    </w:p>
    <w:p w14:paraId="6EA2B254" w14:textId="2FAC4A5D"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rPr>
        <w:t>Joined GMC’s community of interest for GMP</w:t>
      </w:r>
    </w:p>
    <w:p w14:paraId="72A021B2" w14:textId="4A8CF201"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proofErr w:type="gramStart"/>
      <w:r w:rsidR="006A7F97" w:rsidRPr="00CE3210">
        <w:rPr>
          <w:rFonts w:cs="Tahoma"/>
          <w:color w:val="auto"/>
          <w:lang w:eastAsia="en-GB"/>
        </w:rPr>
        <w:t>Social media</w:t>
      </w:r>
      <w:proofErr w:type="gramEnd"/>
    </w:p>
    <w:p w14:paraId="04399A23" w14:textId="70BFEAC4"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GMC event, workshop or meeting</w:t>
      </w:r>
    </w:p>
    <w:p w14:paraId="30DAD68E" w14:textId="23732E1E"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proofErr w:type="gramStart"/>
      <w:r w:rsidR="006A7F97" w:rsidRPr="00CE3210">
        <w:rPr>
          <w:rFonts w:cs="Tahoma"/>
          <w:color w:val="auto"/>
          <w:lang w:eastAsia="en-GB"/>
        </w:rPr>
        <w:t>Non-GMC</w:t>
      </w:r>
      <w:proofErr w:type="gramEnd"/>
      <w:r w:rsidR="006A7F97" w:rsidRPr="00CE3210">
        <w:rPr>
          <w:rFonts w:cs="Tahoma"/>
          <w:color w:val="auto"/>
          <w:lang w:eastAsia="en-GB"/>
        </w:rPr>
        <w:t xml:space="preserve"> event</w:t>
      </w:r>
    </w:p>
    <w:p w14:paraId="5665D502" w14:textId="021109E6"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Media/newspaper/radio</w:t>
      </w:r>
    </w:p>
    <w:p w14:paraId="1BA99C40" w14:textId="01C5652B"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Word of mouth</w:t>
      </w:r>
    </w:p>
    <w:p w14:paraId="54DBF3A7" w14:textId="6CE455AA" w:rsidR="006A7F97" w:rsidRPr="00CE3210" w:rsidRDefault="007605B6" w:rsidP="006A7F97">
      <w:pPr>
        <w:autoSpaceDE w:val="0"/>
        <w:autoSpaceDN w:val="0"/>
        <w:adjustRightInd w:val="0"/>
        <w:spacing w:after="0" w:line="240" w:lineRule="auto"/>
        <w:rPr>
          <w:rFonts w:cs="Tahoma"/>
          <w:color w:val="auto"/>
          <w:lang w:eastAsia="en-GB"/>
        </w:rPr>
      </w:pPr>
      <w:r w:rsidRPr="00CE3210">
        <w:rPr>
          <w:rFonts w:ascii="Segoe UI Symbol" w:eastAsia="MS Gothic" w:hAnsi="Segoe UI Symbol" w:cs="Segoe UI Symbol"/>
          <w:color w:val="auto"/>
          <w:lang w:eastAsia="en-GB"/>
        </w:rPr>
        <w:t>☐</w:t>
      </w:r>
      <w:r w:rsidR="006A7F97" w:rsidRPr="00CE3210">
        <w:rPr>
          <w:rFonts w:cs="Tahoma"/>
          <w:color w:val="auto"/>
          <w:lang w:eastAsia="en-GB"/>
        </w:rPr>
        <w:t>Search engine</w:t>
      </w:r>
    </w:p>
    <w:p w14:paraId="151F348C" w14:textId="2C5300BC" w:rsidR="006A7F97" w:rsidRPr="00CE3210" w:rsidRDefault="007605B6" w:rsidP="006A7F97">
      <w:pPr>
        <w:rPr>
          <w:rFonts w:cs="Tahoma"/>
        </w:rPr>
      </w:pPr>
      <w:r w:rsidRPr="00CE3210">
        <w:rPr>
          <w:rFonts w:ascii="Segoe UI Symbol" w:eastAsia="MS Gothic" w:hAnsi="Segoe UI Symbol" w:cs="Segoe UI Symbol"/>
          <w:color w:val="auto"/>
          <w:lang w:eastAsia="en-GB"/>
        </w:rPr>
        <w:t>☐</w:t>
      </w:r>
      <w:r w:rsidR="006A7F97" w:rsidRPr="00CE3210">
        <w:rPr>
          <w:rFonts w:cs="Tahoma"/>
          <w:color w:val="auto"/>
          <w:lang w:eastAsia="en-GB"/>
        </w:rPr>
        <w:t>Other (please say what)</w:t>
      </w:r>
    </w:p>
    <w:tbl>
      <w:tblPr>
        <w:tblStyle w:val="TableGrid"/>
        <w:tblW w:w="0" w:type="auto"/>
        <w:tblLook w:val="04A0" w:firstRow="1" w:lastRow="0" w:firstColumn="1" w:lastColumn="0" w:noHBand="0" w:noVBand="1"/>
      </w:tblPr>
      <w:tblGrid>
        <w:gridCol w:w="9629"/>
      </w:tblGrid>
      <w:tr w:rsidR="006A7F97" w14:paraId="529EFEB0" w14:textId="77777777" w:rsidTr="00B93F1B">
        <w:tc>
          <w:tcPr>
            <w:tcW w:w="9855" w:type="dxa"/>
          </w:tcPr>
          <w:p w14:paraId="692FA165" w14:textId="399727F0" w:rsidR="006A7F97" w:rsidRDefault="006A7F97" w:rsidP="00B93F1B"/>
          <w:p w14:paraId="634F84EB" w14:textId="77777777" w:rsidR="006A7F97" w:rsidRDefault="006A7F97" w:rsidP="00B93F1B"/>
          <w:p w14:paraId="7CAB146B" w14:textId="77777777" w:rsidR="006A7F97" w:rsidRDefault="006A7F97" w:rsidP="00B93F1B"/>
          <w:p w14:paraId="4A3B4009" w14:textId="77777777" w:rsidR="006A7F97" w:rsidRDefault="006A7F97" w:rsidP="00B93F1B"/>
          <w:p w14:paraId="5E147A26" w14:textId="77777777" w:rsidR="006A7F97" w:rsidRDefault="006A7F97" w:rsidP="00B93F1B"/>
        </w:tc>
      </w:tr>
    </w:tbl>
    <w:p w14:paraId="389D7B95" w14:textId="77777777" w:rsidR="006A7F97" w:rsidRDefault="006A7F97" w:rsidP="006A7F97"/>
    <w:p w14:paraId="6DE560B7" w14:textId="77777777" w:rsidR="00634EAB" w:rsidRPr="00082ADE" w:rsidRDefault="006A7F97" w:rsidP="00634EAB">
      <w:pPr>
        <w:pStyle w:val="Heading1"/>
      </w:pPr>
      <w:r>
        <w:br w:type="page"/>
      </w:r>
      <w:r w:rsidR="00634EAB">
        <w:lastRenderedPageBreak/>
        <w:t>About you</w:t>
      </w:r>
    </w:p>
    <w:p w14:paraId="13BC3EC0" w14:textId="77777777" w:rsidR="00634EAB" w:rsidRDefault="00634EAB" w:rsidP="00634EAB">
      <w:pPr>
        <w:autoSpaceDE w:val="0"/>
        <w:autoSpaceDN w:val="0"/>
        <w:adjustRightInd w:val="0"/>
        <w:spacing w:after="0" w:line="240" w:lineRule="auto"/>
        <w:rPr>
          <w:rFonts w:cs="Tahoma"/>
          <w:color w:val="auto"/>
          <w:lang w:eastAsia="en-GB"/>
        </w:rPr>
      </w:pPr>
    </w:p>
    <w:tbl>
      <w:tblPr>
        <w:tblStyle w:val="TableGrid"/>
        <w:tblW w:w="0" w:type="auto"/>
        <w:tblLook w:val="04A0" w:firstRow="1" w:lastRow="0" w:firstColumn="1" w:lastColumn="0" w:noHBand="0" w:noVBand="1"/>
      </w:tblPr>
      <w:tblGrid>
        <w:gridCol w:w="9629"/>
      </w:tblGrid>
      <w:tr w:rsidR="00634EAB" w:rsidRPr="00256C2B" w14:paraId="45D49732" w14:textId="77777777" w:rsidTr="00284B54">
        <w:tc>
          <w:tcPr>
            <w:tcW w:w="9855" w:type="dxa"/>
          </w:tcPr>
          <w:p w14:paraId="37BFFF60" w14:textId="170DE995" w:rsidR="00634EAB" w:rsidRDefault="00634EAB" w:rsidP="00284B54">
            <w:pPr>
              <w:autoSpaceDE w:val="0"/>
              <w:autoSpaceDN w:val="0"/>
              <w:adjustRightInd w:val="0"/>
              <w:spacing w:after="0" w:line="240" w:lineRule="auto"/>
              <w:rPr>
                <w:rFonts w:cs="Tahoma"/>
                <w:color w:val="auto"/>
                <w:lang w:eastAsia="en-GB"/>
              </w:rPr>
            </w:pPr>
            <w:r w:rsidRPr="00256C2B">
              <w:rPr>
                <w:rFonts w:cs="Tahoma"/>
                <w:color w:val="auto"/>
                <w:lang w:eastAsia="en-GB"/>
              </w:rPr>
              <w:t xml:space="preserve">First name: </w:t>
            </w:r>
          </w:p>
          <w:p w14:paraId="5BB4E57B" w14:textId="77777777" w:rsidR="00634EAB" w:rsidRPr="00256C2B" w:rsidRDefault="00634EAB" w:rsidP="00284B54">
            <w:pPr>
              <w:autoSpaceDE w:val="0"/>
              <w:autoSpaceDN w:val="0"/>
              <w:adjustRightInd w:val="0"/>
              <w:spacing w:after="0" w:line="240" w:lineRule="auto"/>
              <w:rPr>
                <w:rFonts w:cs="Tahoma"/>
                <w:color w:val="auto"/>
                <w:lang w:eastAsia="en-GB"/>
              </w:rPr>
            </w:pPr>
          </w:p>
        </w:tc>
      </w:tr>
      <w:tr w:rsidR="00634EAB" w:rsidRPr="00256C2B" w14:paraId="3DC25B83" w14:textId="77777777" w:rsidTr="00284B54">
        <w:tc>
          <w:tcPr>
            <w:tcW w:w="9855" w:type="dxa"/>
          </w:tcPr>
          <w:p w14:paraId="07B92824" w14:textId="0BC6B66C" w:rsidR="00634EAB" w:rsidRDefault="00634EAB" w:rsidP="00284B54">
            <w:pPr>
              <w:autoSpaceDE w:val="0"/>
              <w:autoSpaceDN w:val="0"/>
              <w:adjustRightInd w:val="0"/>
              <w:spacing w:after="0" w:line="240" w:lineRule="auto"/>
              <w:rPr>
                <w:rFonts w:cs="Tahoma"/>
                <w:color w:val="auto"/>
                <w:lang w:eastAsia="en-GB"/>
              </w:rPr>
            </w:pPr>
            <w:r w:rsidRPr="00256C2B">
              <w:rPr>
                <w:rFonts w:cs="Tahoma"/>
                <w:color w:val="auto"/>
                <w:lang w:eastAsia="en-GB"/>
              </w:rPr>
              <w:t xml:space="preserve">Last name: </w:t>
            </w:r>
          </w:p>
          <w:p w14:paraId="6545B1C9" w14:textId="77777777" w:rsidR="00634EAB" w:rsidRPr="00256C2B" w:rsidRDefault="00634EAB" w:rsidP="00284B54">
            <w:pPr>
              <w:autoSpaceDE w:val="0"/>
              <w:autoSpaceDN w:val="0"/>
              <w:adjustRightInd w:val="0"/>
              <w:spacing w:after="0" w:line="240" w:lineRule="auto"/>
              <w:rPr>
                <w:rFonts w:cs="Tahoma"/>
                <w:color w:val="auto"/>
                <w:lang w:eastAsia="en-GB"/>
              </w:rPr>
            </w:pPr>
          </w:p>
        </w:tc>
      </w:tr>
      <w:tr w:rsidR="00634EAB" w:rsidRPr="00256C2B" w14:paraId="7B1DFCF2" w14:textId="77777777" w:rsidTr="00284B54">
        <w:tc>
          <w:tcPr>
            <w:tcW w:w="9855" w:type="dxa"/>
          </w:tcPr>
          <w:p w14:paraId="643D9537" w14:textId="77777777" w:rsidR="00634EAB" w:rsidRDefault="00634EAB" w:rsidP="00284B54">
            <w:pPr>
              <w:autoSpaceDE w:val="0"/>
              <w:autoSpaceDN w:val="0"/>
              <w:adjustRightInd w:val="0"/>
              <w:spacing w:after="0" w:line="240" w:lineRule="auto"/>
              <w:rPr>
                <w:rFonts w:cs="Tahoma"/>
                <w:color w:val="auto"/>
                <w:lang w:eastAsia="en-GB"/>
              </w:rPr>
            </w:pPr>
            <w:r w:rsidRPr="00256C2B">
              <w:rPr>
                <w:rFonts w:cs="Tahoma"/>
                <w:color w:val="auto"/>
                <w:lang w:eastAsia="en-GB"/>
              </w:rPr>
              <w:t>Job title (if responding on behalf of an organisation):</w:t>
            </w:r>
          </w:p>
          <w:p w14:paraId="29925D03" w14:textId="61511709" w:rsidR="00634EAB" w:rsidRDefault="00634EAB" w:rsidP="00284B54">
            <w:pPr>
              <w:autoSpaceDE w:val="0"/>
              <w:autoSpaceDN w:val="0"/>
              <w:adjustRightInd w:val="0"/>
              <w:spacing w:after="0" w:line="240" w:lineRule="auto"/>
              <w:rPr>
                <w:rFonts w:cs="Tahoma"/>
                <w:color w:val="auto"/>
                <w:lang w:eastAsia="en-GB"/>
              </w:rPr>
            </w:pPr>
          </w:p>
          <w:p w14:paraId="6F07037E" w14:textId="77777777" w:rsidR="00634EAB" w:rsidRPr="00256C2B" w:rsidRDefault="00634EAB" w:rsidP="00284B54">
            <w:pPr>
              <w:autoSpaceDE w:val="0"/>
              <w:autoSpaceDN w:val="0"/>
              <w:adjustRightInd w:val="0"/>
              <w:spacing w:after="0" w:line="240" w:lineRule="auto"/>
              <w:rPr>
                <w:rFonts w:cs="Tahoma"/>
                <w:color w:val="auto"/>
                <w:lang w:eastAsia="en-GB"/>
              </w:rPr>
            </w:pPr>
          </w:p>
        </w:tc>
      </w:tr>
      <w:tr w:rsidR="00634EAB" w:rsidRPr="00256C2B" w14:paraId="0CCC2940" w14:textId="77777777" w:rsidTr="00284B54">
        <w:tc>
          <w:tcPr>
            <w:tcW w:w="9855" w:type="dxa"/>
          </w:tcPr>
          <w:p w14:paraId="487DB9A3" w14:textId="77777777" w:rsidR="00634EAB" w:rsidRDefault="00634EAB" w:rsidP="00284B54">
            <w:pPr>
              <w:autoSpaceDE w:val="0"/>
              <w:autoSpaceDN w:val="0"/>
              <w:adjustRightInd w:val="0"/>
              <w:spacing w:after="0" w:line="240" w:lineRule="auto"/>
              <w:rPr>
                <w:rFonts w:cs="Tahoma"/>
                <w:color w:val="auto"/>
                <w:lang w:eastAsia="en-GB"/>
              </w:rPr>
            </w:pPr>
            <w:r w:rsidRPr="00256C2B">
              <w:rPr>
                <w:rFonts w:cs="Tahoma"/>
                <w:color w:val="auto"/>
                <w:lang w:eastAsia="en-GB"/>
              </w:rPr>
              <w:t xml:space="preserve">Organisation name (if responding on behalf of an organisation): </w:t>
            </w:r>
          </w:p>
          <w:p w14:paraId="1A478772" w14:textId="7EEDB13F" w:rsidR="00634EAB" w:rsidRDefault="00634EAB" w:rsidP="00284B54">
            <w:pPr>
              <w:autoSpaceDE w:val="0"/>
              <w:autoSpaceDN w:val="0"/>
              <w:adjustRightInd w:val="0"/>
              <w:spacing w:after="0" w:line="240" w:lineRule="auto"/>
              <w:rPr>
                <w:rFonts w:cs="Tahoma"/>
                <w:color w:val="auto"/>
                <w:lang w:eastAsia="en-GB"/>
              </w:rPr>
            </w:pPr>
          </w:p>
          <w:p w14:paraId="4523E31A" w14:textId="77777777" w:rsidR="00634EAB" w:rsidRPr="00256C2B" w:rsidRDefault="00634EAB" w:rsidP="00284B54">
            <w:pPr>
              <w:autoSpaceDE w:val="0"/>
              <w:autoSpaceDN w:val="0"/>
              <w:adjustRightInd w:val="0"/>
              <w:spacing w:after="0" w:line="240" w:lineRule="auto"/>
              <w:rPr>
                <w:rFonts w:cs="Tahoma"/>
                <w:color w:val="auto"/>
                <w:lang w:eastAsia="en-GB"/>
              </w:rPr>
            </w:pPr>
          </w:p>
        </w:tc>
      </w:tr>
      <w:tr w:rsidR="00634EAB" w:rsidRPr="00256C2B" w14:paraId="0CDFCFBF" w14:textId="77777777" w:rsidTr="00284B54">
        <w:tc>
          <w:tcPr>
            <w:tcW w:w="9855" w:type="dxa"/>
          </w:tcPr>
          <w:p w14:paraId="0F5736B3" w14:textId="7FB5BD30" w:rsidR="00634EAB" w:rsidRDefault="00634EAB" w:rsidP="00284B54">
            <w:pPr>
              <w:autoSpaceDE w:val="0"/>
              <w:autoSpaceDN w:val="0"/>
              <w:adjustRightInd w:val="0"/>
              <w:spacing w:after="0" w:line="240" w:lineRule="auto"/>
              <w:rPr>
                <w:rFonts w:cs="Tahoma"/>
                <w:color w:val="auto"/>
                <w:lang w:eastAsia="en-GB"/>
              </w:rPr>
            </w:pPr>
            <w:r w:rsidRPr="00256C2B">
              <w:rPr>
                <w:rFonts w:cs="Tahoma"/>
                <w:color w:val="auto"/>
                <w:lang w:eastAsia="en-GB"/>
              </w:rPr>
              <w:t xml:space="preserve">Email address: </w:t>
            </w:r>
          </w:p>
          <w:p w14:paraId="1FDA1838" w14:textId="77777777" w:rsidR="00634EAB" w:rsidRPr="00256C2B" w:rsidRDefault="00634EAB" w:rsidP="00284B54">
            <w:pPr>
              <w:autoSpaceDE w:val="0"/>
              <w:autoSpaceDN w:val="0"/>
              <w:adjustRightInd w:val="0"/>
              <w:spacing w:after="0" w:line="240" w:lineRule="auto"/>
              <w:rPr>
                <w:rFonts w:cs="Tahoma"/>
                <w:color w:val="auto"/>
                <w:lang w:eastAsia="en-GB"/>
              </w:rPr>
            </w:pPr>
          </w:p>
        </w:tc>
      </w:tr>
    </w:tbl>
    <w:p w14:paraId="01319D18" w14:textId="77777777" w:rsidR="00634EAB" w:rsidRDefault="00634EAB" w:rsidP="00634EAB">
      <w:pPr>
        <w:autoSpaceDE w:val="0"/>
        <w:autoSpaceDN w:val="0"/>
        <w:adjustRightInd w:val="0"/>
        <w:spacing w:after="0" w:line="240" w:lineRule="auto"/>
        <w:rPr>
          <w:rFonts w:cs="Tahoma"/>
          <w:color w:val="auto"/>
          <w:lang w:eastAsia="en-GB"/>
        </w:rPr>
      </w:pPr>
    </w:p>
    <w:p w14:paraId="676458DD" w14:textId="77777777" w:rsidR="00634EAB" w:rsidRDefault="00634EAB" w:rsidP="00634EAB">
      <w:pPr>
        <w:spacing w:after="0" w:line="240" w:lineRule="auto"/>
        <w:rPr>
          <w:rFonts w:cs="Tahoma"/>
          <w:color w:val="0A0A0A"/>
          <w:lang w:val="en" w:eastAsia="en-GB"/>
        </w:rPr>
      </w:pPr>
    </w:p>
    <w:p w14:paraId="0FB20A81" w14:textId="77777777" w:rsidR="00634EAB" w:rsidRPr="00B70F5B" w:rsidRDefault="00634EAB" w:rsidP="00634EAB">
      <w:pPr>
        <w:autoSpaceDE w:val="0"/>
        <w:autoSpaceDN w:val="0"/>
        <w:adjustRightInd w:val="0"/>
        <w:spacing w:after="0" w:line="240" w:lineRule="auto"/>
        <w:rPr>
          <w:rFonts w:cs="Tahoma"/>
          <w:b/>
          <w:bCs/>
          <w:color w:val="auto"/>
          <w:lang w:val="en" w:eastAsia="en-GB"/>
        </w:rPr>
      </w:pPr>
      <w:r w:rsidRPr="00B70F5B">
        <w:rPr>
          <w:rFonts w:cs="Tahoma"/>
          <w:b/>
          <w:bCs/>
          <w:color w:val="auto"/>
          <w:lang w:val="en" w:eastAsia="en-GB"/>
        </w:rPr>
        <w:t>Would you like to receive updates about GMC consultations you’ve participated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34EAB" w14:paraId="69EE5906" w14:textId="77777777" w:rsidTr="00284B54">
        <w:tc>
          <w:tcPr>
            <w:tcW w:w="4814" w:type="dxa"/>
          </w:tcPr>
          <w:p w14:paraId="3C49AB3D" w14:textId="60E9A35F" w:rsidR="00634EAB" w:rsidRDefault="00622267" w:rsidP="00284B54">
            <w:pPr>
              <w:autoSpaceDE w:val="0"/>
              <w:autoSpaceDN w:val="0"/>
              <w:adjustRightInd w:val="0"/>
              <w:spacing w:after="0" w:line="240" w:lineRule="auto"/>
              <w:rPr>
                <w:rFonts w:cs="Tahoma"/>
                <w:color w:val="auto"/>
                <w:lang w:val="en" w:eastAsia="en-GB"/>
              </w:rPr>
            </w:pPr>
            <w:r>
              <w:rPr>
                <w:rFonts w:ascii="MS Gothic" w:eastAsia="MS Gothic" w:hAnsi="MS Gothic" w:cs="Wingdings-Regular" w:hint="eastAsia"/>
                <w:color w:val="auto"/>
                <w:lang w:eastAsia="en-GB"/>
              </w:rPr>
              <w:t>☐</w:t>
            </w:r>
            <w:r w:rsidR="00634EAB">
              <w:rPr>
                <w:rFonts w:cs="Tahoma"/>
                <w:color w:val="auto"/>
                <w:lang w:val="en" w:eastAsia="en-GB"/>
              </w:rPr>
              <w:t>Yes</w:t>
            </w:r>
          </w:p>
          <w:p w14:paraId="713B1BB9" w14:textId="77777777" w:rsidR="00634EAB" w:rsidRDefault="00634EAB" w:rsidP="00284B54">
            <w:pPr>
              <w:autoSpaceDE w:val="0"/>
              <w:autoSpaceDN w:val="0"/>
              <w:adjustRightInd w:val="0"/>
              <w:spacing w:after="0" w:line="240" w:lineRule="auto"/>
              <w:rPr>
                <w:rFonts w:cs="Tahoma"/>
                <w:color w:val="auto"/>
                <w:lang w:val="en" w:eastAsia="en-GB"/>
              </w:rPr>
            </w:pPr>
          </w:p>
        </w:tc>
        <w:tc>
          <w:tcPr>
            <w:tcW w:w="4815" w:type="dxa"/>
          </w:tcPr>
          <w:p w14:paraId="03A37CE0" w14:textId="63BCB130" w:rsidR="00634EAB" w:rsidRDefault="00622267" w:rsidP="00284B54">
            <w:pPr>
              <w:autoSpaceDE w:val="0"/>
              <w:autoSpaceDN w:val="0"/>
              <w:adjustRightInd w:val="0"/>
              <w:spacing w:after="0" w:line="240" w:lineRule="auto"/>
              <w:rPr>
                <w:rFonts w:cs="Tahoma"/>
                <w:color w:val="auto"/>
                <w:lang w:val="en" w:eastAsia="en-GB"/>
              </w:rPr>
            </w:pPr>
            <w:r>
              <w:rPr>
                <w:rFonts w:ascii="MS Gothic" w:eastAsia="MS Gothic" w:hAnsi="MS Gothic" w:cs="Wingdings-Regular" w:hint="eastAsia"/>
                <w:color w:val="auto"/>
                <w:lang w:eastAsia="en-GB"/>
              </w:rPr>
              <w:t>☐</w:t>
            </w:r>
            <w:r w:rsidR="00634EAB">
              <w:rPr>
                <w:rFonts w:cs="Tahoma"/>
                <w:color w:val="auto"/>
                <w:lang w:val="en" w:eastAsia="en-GB"/>
              </w:rPr>
              <w:t>No</w:t>
            </w:r>
          </w:p>
          <w:p w14:paraId="31FA49CF" w14:textId="77777777" w:rsidR="00634EAB" w:rsidRDefault="00634EAB" w:rsidP="00284B54">
            <w:pPr>
              <w:autoSpaceDE w:val="0"/>
              <w:autoSpaceDN w:val="0"/>
              <w:adjustRightInd w:val="0"/>
              <w:spacing w:after="0" w:line="240" w:lineRule="auto"/>
              <w:rPr>
                <w:rFonts w:cs="Tahoma"/>
                <w:color w:val="auto"/>
                <w:lang w:val="en" w:eastAsia="en-GB"/>
              </w:rPr>
            </w:pPr>
          </w:p>
        </w:tc>
      </w:tr>
    </w:tbl>
    <w:p w14:paraId="77DA1850" w14:textId="77777777" w:rsidR="00634EAB" w:rsidRDefault="00634EAB" w:rsidP="00634EAB">
      <w:pPr>
        <w:autoSpaceDE w:val="0"/>
        <w:autoSpaceDN w:val="0"/>
        <w:adjustRightInd w:val="0"/>
        <w:spacing w:after="0" w:line="240" w:lineRule="auto"/>
        <w:rPr>
          <w:rFonts w:cs="Tahoma"/>
          <w:color w:val="auto"/>
          <w:lang w:val="en" w:eastAsia="en-GB"/>
        </w:rPr>
      </w:pPr>
    </w:p>
    <w:p w14:paraId="04E3ACCD" w14:textId="77777777" w:rsidR="00634EAB" w:rsidRDefault="00634EAB" w:rsidP="00634EAB">
      <w:pPr>
        <w:autoSpaceDE w:val="0"/>
        <w:autoSpaceDN w:val="0"/>
        <w:adjustRightInd w:val="0"/>
        <w:spacing w:after="0" w:line="240" w:lineRule="auto"/>
        <w:rPr>
          <w:rFonts w:cs="Tahoma"/>
          <w:color w:val="auto"/>
          <w:lang w:eastAsia="en-GB"/>
        </w:rPr>
      </w:pPr>
    </w:p>
    <w:p w14:paraId="2D68F224" w14:textId="77777777" w:rsidR="00634EAB" w:rsidRPr="00D53C0C" w:rsidRDefault="00634EAB" w:rsidP="00634EAB">
      <w:pPr>
        <w:spacing w:after="0" w:line="240" w:lineRule="auto"/>
        <w:rPr>
          <w:rFonts w:cs="Tahoma"/>
          <w:b/>
          <w:color w:val="0A0A0A"/>
          <w:lang w:val="en" w:eastAsia="en-GB"/>
        </w:rPr>
      </w:pPr>
      <w:r>
        <w:rPr>
          <w:rFonts w:cs="Tahoma"/>
          <w:b/>
          <w:color w:val="0A0A0A"/>
          <w:lang w:val="en" w:eastAsia="en-GB"/>
        </w:rPr>
        <w:t xml:space="preserve">1. </w:t>
      </w:r>
      <w:r w:rsidRPr="00D53C0C">
        <w:rPr>
          <w:rFonts w:cs="Tahoma"/>
          <w:b/>
          <w:color w:val="0A0A0A"/>
          <w:lang w:val="en" w:eastAsia="en-GB"/>
        </w:rPr>
        <w:t xml:space="preserve">Are you responding as an individual or on behalf of an </w:t>
      </w:r>
      <w:r w:rsidRPr="00D53C0C">
        <w:rPr>
          <w:rFonts w:cs="Tahoma"/>
          <w:b/>
          <w:color w:val="0A0A0A"/>
          <w:lang w:eastAsia="en-GB"/>
        </w:rPr>
        <w:t>organisation</w:t>
      </w:r>
      <w:r w:rsidRPr="00D53C0C">
        <w:rPr>
          <w:rFonts w:cs="Tahoma"/>
          <w:b/>
          <w:color w:val="0A0A0A"/>
          <w:lang w:val="en" w:eastAsia="en-GB"/>
        </w:rPr>
        <w:t>?</w:t>
      </w:r>
    </w:p>
    <w:p w14:paraId="2E1E155D" w14:textId="77777777" w:rsidR="00634EAB" w:rsidRDefault="00634EAB" w:rsidP="00634EAB">
      <w:pPr>
        <w:autoSpaceDE w:val="0"/>
        <w:autoSpaceDN w:val="0"/>
        <w:adjustRightInd w:val="0"/>
        <w:spacing w:after="0" w:line="240" w:lineRule="auto"/>
      </w:pPr>
    </w:p>
    <w:p w14:paraId="532652CC" w14:textId="7F25DDC4" w:rsidR="00634EAB" w:rsidRDefault="00CE3210" w:rsidP="00634EAB">
      <w:r>
        <w:rPr>
          <w:rFonts w:ascii="MS Gothic" w:eastAsia="MS Gothic" w:hAnsi="MS Gothic" w:cs="Wingdings-Regular" w:hint="eastAsia"/>
          <w:color w:val="auto"/>
          <w:lang w:eastAsia="en-GB"/>
        </w:rPr>
        <w:t>☐</w:t>
      </w:r>
      <w:r w:rsidR="00634EAB">
        <w:t>Individual (please continue to ‘Responding as an individual’)</w:t>
      </w:r>
    </w:p>
    <w:p w14:paraId="004336ED" w14:textId="5F1C5F52" w:rsidR="00634EAB" w:rsidRDefault="00622267" w:rsidP="00634EAB">
      <w:r>
        <w:rPr>
          <w:rFonts w:ascii="MS Gothic" w:eastAsia="MS Gothic" w:hAnsi="MS Gothic" w:cs="Wingdings-Regular" w:hint="eastAsia"/>
          <w:color w:val="auto"/>
          <w:lang w:eastAsia="en-GB"/>
        </w:rPr>
        <w:t>☐</w:t>
      </w:r>
      <w:r w:rsidR="00634EAB">
        <w:t>Organisation (please go to ‘Responding on behalf of an organisation’)</w:t>
      </w:r>
    </w:p>
    <w:p w14:paraId="2D9EDB45" w14:textId="77777777" w:rsidR="00634EAB" w:rsidRDefault="00634EAB" w:rsidP="00634EAB">
      <w:pPr>
        <w:spacing w:after="0" w:line="240" w:lineRule="auto"/>
        <w:rPr>
          <w:rFonts w:cs="Arial"/>
          <w:b/>
          <w:bCs/>
          <w:iCs/>
          <w:color w:val="00377B"/>
          <w:kern w:val="32"/>
          <w:sz w:val="32"/>
          <w:szCs w:val="28"/>
        </w:rPr>
      </w:pPr>
      <w:r>
        <w:br w:type="page"/>
      </w:r>
    </w:p>
    <w:p w14:paraId="424EB03F" w14:textId="77777777" w:rsidR="00634EAB" w:rsidRDefault="00634EAB" w:rsidP="00634EAB">
      <w:pPr>
        <w:pStyle w:val="Heading2"/>
      </w:pPr>
      <w:r>
        <w:lastRenderedPageBreak/>
        <w:t xml:space="preserve">Responding as an individual </w:t>
      </w:r>
    </w:p>
    <w:p w14:paraId="5FCC425E" w14:textId="77777777" w:rsidR="00634EAB" w:rsidRPr="00D53C0C" w:rsidRDefault="00634EAB" w:rsidP="00634EAB">
      <w:pPr>
        <w:spacing w:after="0" w:line="240" w:lineRule="auto"/>
        <w:rPr>
          <w:rFonts w:cs="Tahoma"/>
          <w:b/>
          <w:color w:val="0A0A0A"/>
          <w:lang w:val="en" w:eastAsia="en-GB"/>
        </w:rPr>
      </w:pPr>
      <w:r>
        <w:rPr>
          <w:rFonts w:cs="Tahoma"/>
          <w:b/>
          <w:color w:val="0A0A0A"/>
          <w:lang w:val="en" w:eastAsia="en-GB"/>
        </w:rPr>
        <w:t xml:space="preserve">2. </w:t>
      </w:r>
      <w:r w:rsidRPr="00D53C0C">
        <w:rPr>
          <w:rFonts w:cs="Tahoma"/>
          <w:b/>
          <w:color w:val="0A0A0A"/>
          <w:lang w:val="en" w:eastAsia="en-GB"/>
        </w:rPr>
        <w:t xml:space="preserve">Which of these categories best describes you? Please only select one. </w:t>
      </w:r>
    </w:p>
    <w:p w14:paraId="3A1AF60D" w14:textId="77777777" w:rsidR="00634EAB" w:rsidRDefault="00634EAB" w:rsidP="00634EAB">
      <w:pPr>
        <w:spacing w:after="0" w:line="240" w:lineRule="auto"/>
        <w:rPr>
          <w:rFonts w:cs="Tahoma"/>
          <w:color w:val="0A0A0A"/>
          <w:lang w:val="en" w:eastAsia="en-GB"/>
        </w:rPr>
      </w:pPr>
    </w:p>
    <w:tbl>
      <w:tblPr>
        <w:tblW w:w="9747" w:type="dxa"/>
        <w:tblInd w:w="-108" w:type="dxa"/>
        <w:tblLayout w:type="fixed"/>
        <w:tblLook w:val="0000" w:firstRow="0" w:lastRow="0" w:firstColumn="0" w:lastColumn="0" w:noHBand="0" w:noVBand="0"/>
      </w:tblPr>
      <w:tblGrid>
        <w:gridCol w:w="5348"/>
        <w:gridCol w:w="4399"/>
      </w:tblGrid>
      <w:tr w:rsidR="00634EAB" w14:paraId="4A06E630" w14:textId="77777777" w:rsidTr="00284B54">
        <w:trPr>
          <w:trHeight w:val="337"/>
        </w:trPr>
        <w:tc>
          <w:tcPr>
            <w:tcW w:w="5348" w:type="dxa"/>
          </w:tcPr>
          <w:p w14:paraId="375E2BC3" w14:textId="2D894A40" w:rsidR="00634EAB" w:rsidRDefault="00921335" w:rsidP="00284B54">
            <w:pPr>
              <w:rPr>
                <w:sz w:val="23"/>
                <w:szCs w:val="23"/>
              </w:rPr>
            </w:pPr>
            <w:bookmarkStart w:id="18" w:name="_Hlk97732971"/>
            <w:r>
              <w:rPr>
                <w:rFonts w:ascii="MS Gothic" w:eastAsia="MS Gothic" w:hAnsi="MS Gothic" w:cs="Wingdings-Regular" w:hint="eastAsia"/>
                <w:color w:val="auto"/>
                <w:lang w:eastAsia="en-GB"/>
              </w:rPr>
              <w:t>☐</w:t>
            </w:r>
            <w:r w:rsidR="00634EAB">
              <w:rPr>
                <w:sz w:val="23"/>
                <w:szCs w:val="23"/>
              </w:rPr>
              <w:t xml:space="preserve">Doctor (if you select this, please answer the next two questions, otherwise go to ‘age’) </w:t>
            </w:r>
          </w:p>
        </w:tc>
        <w:tc>
          <w:tcPr>
            <w:tcW w:w="4399" w:type="dxa"/>
          </w:tcPr>
          <w:p w14:paraId="32C1A5EB" w14:textId="68C19D8C" w:rsidR="00634EAB" w:rsidRDefault="00921335" w:rsidP="00284B54">
            <w:pPr>
              <w:rPr>
                <w:sz w:val="23"/>
                <w:szCs w:val="23"/>
              </w:rPr>
            </w:pPr>
            <w:r>
              <w:rPr>
                <w:rFonts w:ascii="MS Gothic" w:eastAsia="MS Gothic" w:hAnsi="MS Gothic" w:cs="Tahoma" w:hint="eastAsia"/>
                <w:color w:val="auto"/>
                <w:lang w:eastAsia="en-GB"/>
              </w:rPr>
              <w:t>☐</w:t>
            </w:r>
            <w:r w:rsidR="00634EAB" w:rsidRPr="00A60C52">
              <w:rPr>
                <w:sz w:val="23"/>
                <w:szCs w:val="23"/>
              </w:rPr>
              <w:t xml:space="preserve">Anaesthetist </w:t>
            </w:r>
            <w:r w:rsidR="00634EAB">
              <w:rPr>
                <w:sz w:val="23"/>
                <w:szCs w:val="23"/>
              </w:rPr>
              <w:t>a</w:t>
            </w:r>
            <w:r w:rsidR="00634EAB" w:rsidRPr="00A60C52">
              <w:rPr>
                <w:sz w:val="23"/>
                <w:szCs w:val="23"/>
              </w:rPr>
              <w:t>ssociate</w:t>
            </w:r>
            <w:r w:rsidR="00634EAB">
              <w:rPr>
                <w:sz w:val="23"/>
                <w:szCs w:val="23"/>
              </w:rPr>
              <w:t xml:space="preserve"> </w:t>
            </w:r>
          </w:p>
        </w:tc>
      </w:tr>
      <w:tr w:rsidR="00634EAB" w:rsidRPr="00A60C52" w14:paraId="4B0F4AD2" w14:textId="77777777" w:rsidTr="00284B54">
        <w:trPr>
          <w:trHeight w:val="337"/>
        </w:trPr>
        <w:tc>
          <w:tcPr>
            <w:tcW w:w="5348" w:type="dxa"/>
          </w:tcPr>
          <w:p w14:paraId="05B993A9" w14:textId="44BE3C87" w:rsidR="00634EAB" w:rsidRPr="00A60C52" w:rsidRDefault="00921335" w:rsidP="00284B54">
            <w:pPr>
              <w:rPr>
                <w:rFonts w:eastAsia="Wingdings-Regular" w:cs="Tahoma"/>
                <w:color w:val="auto"/>
                <w:lang w:eastAsia="en-GB"/>
              </w:rPr>
            </w:pPr>
            <w:r>
              <w:rPr>
                <w:rFonts w:ascii="MS Gothic" w:eastAsia="MS Gothic" w:hAnsi="MS Gothic" w:cs="Tahoma" w:hint="eastAsia"/>
                <w:color w:val="auto"/>
                <w:lang w:eastAsia="en-GB"/>
              </w:rPr>
              <w:t>☐</w:t>
            </w:r>
            <w:r w:rsidR="00634EAB" w:rsidRPr="00A60C52">
              <w:rPr>
                <w:rFonts w:eastAsia="Wingdings-Regular" w:cs="Tahoma"/>
                <w:color w:val="auto"/>
                <w:lang w:eastAsia="en-GB"/>
              </w:rPr>
              <w:t xml:space="preserve">Physician associate </w:t>
            </w:r>
          </w:p>
        </w:tc>
        <w:tc>
          <w:tcPr>
            <w:tcW w:w="4399" w:type="dxa"/>
          </w:tcPr>
          <w:p w14:paraId="3B62742A" w14:textId="629F9B4B" w:rsidR="00634EAB" w:rsidRPr="00A60C52" w:rsidRDefault="00921335" w:rsidP="00284B54">
            <w:pPr>
              <w:rPr>
                <w:rFonts w:eastAsia="Wingdings-Regular" w:cs="Tahoma"/>
                <w:color w:val="auto"/>
                <w:lang w:eastAsia="en-GB"/>
              </w:rPr>
            </w:pPr>
            <w:r>
              <w:rPr>
                <w:rFonts w:ascii="MS Gothic" w:eastAsia="MS Gothic" w:hAnsi="MS Gothic" w:cs="Tahoma" w:hint="eastAsia"/>
                <w:color w:val="auto"/>
                <w:lang w:eastAsia="en-GB"/>
              </w:rPr>
              <w:t>☐</w:t>
            </w:r>
            <w:r w:rsidR="00634EAB" w:rsidRPr="00A60C52">
              <w:rPr>
                <w:rFonts w:cs="Tahoma"/>
                <w:sz w:val="23"/>
                <w:szCs w:val="23"/>
              </w:rPr>
              <w:t>Medical student</w:t>
            </w:r>
          </w:p>
        </w:tc>
      </w:tr>
      <w:tr w:rsidR="00634EAB" w:rsidRPr="00A60C52" w14:paraId="760B65C0" w14:textId="77777777" w:rsidTr="00284B54">
        <w:trPr>
          <w:trHeight w:val="337"/>
        </w:trPr>
        <w:tc>
          <w:tcPr>
            <w:tcW w:w="5348" w:type="dxa"/>
          </w:tcPr>
          <w:p w14:paraId="24B632C8" w14:textId="1A7A5A09" w:rsidR="00634EAB" w:rsidRPr="00A60C52" w:rsidRDefault="00921335" w:rsidP="00284B54">
            <w:pPr>
              <w:rPr>
                <w:rFonts w:eastAsia="Wingdings-Regular" w:cs="Tahoma"/>
                <w:color w:val="auto"/>
                <w:lang w:eastAsia="en-GB"/>
              </w:rPr>
            </w:pPr>
            <w:r>
              <w:rPr>
                <w:rFonts w:ascii="MS Gothic" w:eastAsia="MS Gothic" w:hAnsi="MS Gothic" w:cs="Tahoma" w:hint="eastAsia"/>
                <w:color w:val="auto"/>
                <w:lang w:eastAsia="en-GB"/>
              </w:rPr>
              <w:t>☐</w:t>
            </w:r>
            <w:r w:rsidR="005242BA">
              <w:rPr>
                <w:rFonts w:cs="Tahoma"/>
                <w:sz w:val="23"/>
                <w:szCs w:val="23"/>
              </w:rPr>
              <w:t>Physician</w:t>
            </w:r>
            <w:r w:rsidR="00634EAB" w:rsidRPr="00A60C52">
              <w:rPr>
                <w:rFonts w:cs="Tahoma"/>
                <w:sz w:val="23"/>
                <w:szCs w:val="23"/>
              </w:rPr>
              <w:t xml:space="preserve"> associate student </w:t>
            </w:r>
          </w:p>
        </w:tc>
        <w:tc>
          <w:tcPr>
            <w:tcW w:w="4399" w:type="dxa"/>
          </w:tcPr>
          <w:p w14:paraId="7CC6E9FC" w14:textId="498FE8BC" w:rsidR="00634EAB" w:rsidRPr="00A60C52" w:rsidRDefault="00921335" w:rsidP="00284B54">
            <w:pPr>
              <w:rPr>
                <w:rFonts w:eastAsia="Wingdings-Regular" w:cs="Tahoma"/>
                <w:color w:val="auto"/>
                <w:lang w:eastAsia="en-GB"/>
              </w:rPr>
            </w:pPr>
            <w:r>
              <w:rPr>
                <w:rFonts w:ascii="MS Gothic" w:eastAsia="MS Gothic" w:hAnsi="MS Gothic" w:cs="Tahoma" w:hint="eastAsia"/>
                <w:color w:val="auto"/>
                <w:lang w:eastAsia="en-GB"/>
              </w:rPr>
              <w:t>☐</w:t>
            </w:r>
            <w:r w:rsidR="005242BA">
              <w:rPr>
                <w:rFonts w:eastAsia="Wingdings-Regular" w:cs="Tahoma"/>
                <w:color w:val="auto"/>
                <w:lang w:eastAsia="en-GB"/>
              </w:rPr>
              <w:t>Anaesthetist</w:t>
            </w:r>
            <w:r w:rsidR="00634EAB" w:rsidRPr="00A60C52">
              <w:rPr>
                <w:rFonts w:eastAsia="Wingdings-Regular" w:cs="Tahoma"/>
                <w:color w:val="auto"/>
                <w:lang w:eastAsia="en-GB"/>
              </w:rPr>
              <w:t xml:space="preserve"> associate student</w:t>
            </w:r>
          </w:p>
        </w:tc>
      </w:tr>
      <w:tr w:rsidR="00634EAB" w14:paraId="4ED90900" w14:textId="77777777" w:rsidTr="00284B54">
        <w:trPr>
          <w:trHeight w:val="174"/>
        </w:trPr>
        <w:tc>
          <w:tcPr>
            <w:tcW w:w="5348" w:type="dxa"/>
          </w:tcPr>
          <w:p w14:paraId="2E4B64AC" w14:textId="4F6B4B3C" w:rsidR="00634EAB" w:rsidRDefault="00921335" w:rsidP="00284B54">
            <w:pPr>
              <w:rPr>
                <w:sz w:val="23"/>
                <w:szCs w:val="23"/>
              </w:rPr>
            </w:pPr>
            <w:r>
              <w:rPr>
                <w:rFonts w:ascii="MS Gothic" w:eastAsia="MS Gothic" w:hAnsi="MS Gothic" w:cs="Wingdings-Regular" w:hint="eastAsia"/>
                <w:color w:val="auto"/>
                <w:lang w:eastAsia="en-GB"/>
              </w:rPr>
              <w:t>☐</w:t>
            </w:r>
            <w:r w:rsidR="00634EAB">
              <w:rPr>
                <w:sz w:val="23"/>
                <w:szCs w:val="23"/>
              </w:rPr>
              <w:t>Other healthcare profession</w:t>
            </w:r>
          </w:p>
        </w:tc>
        <w:tc>
          <w:tcPr>
            <w:tcW w:w="4399" w:type="dxa"/>
          </w:tcPr>
          <w:p w14:paraId="1D61DFF2" w14:textId="660E1F63" w:rsidR="00634EAB" w:rsidRDefault="00921335" w:rsidP="00284B54">
            <w:pPr>
              <w:rPr>
                <w:sz w:val="23"/>
                <w:szCs w:val="23"/>
              </w:rPr>
            </w:pPr>
            <w:r>
              <w:rPr>
                <w:rFonts w:ascii="MS Gothic" w:eastAsia="MS Gothic" w:hAnsi="MS Gothic" w:cs="Wingdings-Regular" w:hint="eastAsia"/>
                <w:color w:val="auto"/>
                <w:lang w:eastAsia="en-GB"/>
              </w:rPr>
              <w:t>☐</w:t>
            </w:r>
            <w:r w:rsidR="00634EAB">
              <w:rPr>
                <w:sz w:val="23"/>
                <w:szCs w:val="23"/>
              </w:rPr>
              <w:t>Patient</w:t>
            </w:r>
          </w:p>
        </w:tc>
      </w:tr>
      <w:tr w:rsidR="00634EAB" w14:paraId="77955717" w14:textId="77777777" w:rsidTr="00284B54">
        <w:trPr>
          <w:trHeight w:val="174"/>
        </w:trPr>
        <w:tc>
          <w:tcPr>
            <w:tcW w:w="5348" w:type="dxa"/>
          </w:tcPr>
          <w:p w14:paraId="773B26C7" w14:textId="38A77050" w:rsidR="00634EAB" w:rsidRDefault="00921335" w:rsidP="00284B54">
            <w:pPr>
              <w:rPr>
                <w:sz w:val="23"/>
                <w:szCs w:val="23"/>
              </w:rPr>
            </w:pPr>
            <w:r>
              <w:rPr>
                <w:rFonts w:ascii="MS Gothic" w:eastAsia="MS Gothic" w:hAnsi="MS Gothic" w:cs="Wingdings-Regular" w:hint="eastAsia"/>
                <w:color w:val="auto"/>
                <w:lang w:eastAsia="en-GB"/>
              </w:rPr>
              <w:t>☐</w:t>
            </w:r>
            <w:r w:rsidR="00634EAB">
              <w:rPr>
                <w:sz w:val="23"/>
                <w:szCs w:val="23"/>
              </w:rPr>
              <w:t xml:space="preserve">Carer/patient relative or advocate </w:t>
            </w:r>
          </w:p>
        </w:tc>
        <w:tc>
          <w:tcPr>
            <w:tcW w:w="4399" w:type="dxa"/>
          </w:tcPr>
          <w:p w14:paraId="334BA212" w14:textId="3CE0AF94" w:rsidR="00634EAB" w:rsidRDefault="00921335" w:rsidP="00284B54">
            <w:pPr>
              <w:rPr>
                <w:sz w:val="23"/>
                <w:szCs w:val="23"/>
              </w:rPr>
            </w:pPr>
            <w:r>
              <w:rPr>
                <w:rFonts w:ascii="MS Gothic" w:eastAsia="MS Gothic" w:hAnsi="MS Gothic" w:cs="Wingdings-Regular" w:hint="eastAsia"/>
                <w:color w:val="auto"/>
                <w:lang w:eastAsia="en-GB"/>
              </w:rPr>
              <w:t>☐</w:t>
            </w:r>
            <w:r w:rsidR="00634EAB">
              <w:rPr>
                <w:sz w:val="23"/>
                <w:szCs w:val="23"/>
              </w:rPr>
              <w:t>Member of the public</w:t>
            </w:r>
          </w:p>
        </w:tc>
      </w:tr>
      <w:tr w:rsidR="00634EAB" w14:paraId="313CD9DF" w14:textId="77777777" w:rsidTr="00284B54">
        <w:trPr>
          <w:trHeight w:val="174"/>
        </w:trPr>
        <w:tc>
          <w:tcPr>
            <w:tcW w:w="5348" w:type="dxa"/>
          </w:tcPr>
          <w:p w14:paraId="373B034B" w14:textId="1FDC9123" w:rsidR="00634EAB" w:rsidRDefault="00921335" w:rsidP="00284B54">
            <w:pPr>
              <w:rPr>
                <w:sz w:val="23"/>
                <w:szCs w:val="23"/>
              </w:rPr>
            </w:pPr>
            <w:r>
              <w:rPr>
                <w:rFonts w:ascii="MS Gothic" w:eastAsia="MS Gothic" w:hAnsi="MS Gothic" w:cs="Wingdings-Regular" w:hint="eastAsia"/>
                <w:color w:val="auto"/>
                <w:lang w:eastAsia="en-GB"/>
              </w:rPr>
              <w:t>☐</w:t>
            </w:r>
            <w:r w:rsidR="00634EAB">
              <w:rPr>
                <w:sz w:val="23"/>
                <w:szCs w:val="23"/>
              </w:rPr>
              <w:t>Lay GMC/MPTS Associate</w:t>
            </w:r>
          </w:p>
        </w:tc>
        <w:tc>
          <w:tcPr>
            <w:tcW w:w="4399" w:type="dxa"/>
          </w:tcPr>
          <w:p w14:paraId="6DFA2A7C" w14:textId="77777777" w:rsidR="00634EAB" w:rsidRDefault="00634EAB" w:rsidP="00284B54">
            <w:pPr>
              <w:rPr>
                <w:sz w:val="23"/>
                <w:szCs w:val="23"/>
              </w:rPr>
            </w:pPr>
          </w:p>
        </w:tc>
      </w:tr>
      <w:tr w:rsidR="00634EAB" w14:paraId="55EA080A" w14:textId="77777777" w:rsidTr="00284B54">
        <w:trPr>
          <w:trHeight w:val="174"/>
        </w:trPr>
        <w:tc>
          <w:tcPr>
            <w:tcW w:w="9747" w:type="dxa"/>
            <w:gridSpan w:val="2"/>
          </w:tcPr>
          <w:p w14:paraId="067F1F8D" w14:textId="6E47FD7E" w:rsidR="00634EAB" w:rsidRDefault="00921335" w:rsidP="00284B54">
            <w:pPr>
              <w:rPr>
                <w:rFonts w:ascii="Wingdings-Regular" w:eastAsia="Wingdings-Regular" w:cs="Wingdings-Regular"/>
                <w:color w:val="auto"/>
                <w:lang w:eastAsia="en-GB"/>
              </w:rPr>
            </w:pPr>
            <w:r>
              <w:rPr>
                <w:rFonts w:ascii="MS Gothic" w:eastAsia="MS Gothic" w:hAnsi="MS Gothic" w:cs="Tahoma" w:hint="eastAsia"/>
                <w:color w:val="auto"/>
                <w:lang w:eastAsia="en-GB"/>
              </w:rPr>
              <w:t>☐</w:t>
            </w:r>
            <w:r w:rsidR="00634EAB">
              <w:rPr>
                <w:rFonts w:eastAsia="Wingdings-Regular" w:cs="Tahoma"/>
                <w:color w:val="auto"/>
                <w:lang w:eastAsia="en-GB"/>
              </w:rPr>
              <w:t xml:space="preserve">Other (please say what): </w:t>
            </w:r>
          </w:p>
        </w:tc>
      </w:tr>
      <w:bookmarkEnd w:id="18"/>
    </w:tbl>
    <w:tbl>
      <w:tblPr>
        <w:tblStyle w:val="TableGrid"/>
        <w:tblW w:w="0" w:type="auto"/>
        <w:tblLook w:val="04A0" w:firstRow="1" w:lastRow="0" w:firstColumn="1" w:lastColumn="0" w:noHBand="0" w:noVBand="1"/>
      </w:tblPr>
      <w:tblGrid>
        <w:gridCol w:w="9629"/>
      </w:tblGrid>
      <w:tr w:rsidR="00634EAB" w:rsidRPr="00B70F5B" w14:paraId="4430DC45" w14:textId="77777777" w:rsidTr="00284B54">
        <w:tc>
          <w:tcPr>
            <w:tcW w:w="9629" w:type="dxa"/>
          </w:tcPr>
          <w:p w14:paraId="0E433ABB" w14:textId="3EABF986" w:rsidR="00634EAB" w:rsidRPr="00B70F5B" w:rsidRDefault="00634EAB" w:rsidP="00284B54">
            <w:pPr>
              <w:rPr>
                <w:lang w:val="en" w:eastAsia="en-GB"/>
              </w:rPr>
            </w:pPr>
          </w:p>
        </w:tc>
      </w:tr>
    </w:tbl>
    <w:p w14:paraId="217F0FB8" w14:textId="77777777" w:rsidR="00634EAB" w:rsidRPr="00B040AA" w:rsidRDefault="00634EAB" w:rsidP="00634EAB">
      <w:pPr>
        <w:pStyle w:val="Heading4"/>
        <w:rPr>
          <w:rFonts w:cs="Tahoma"/>
          <w:b/>
          <w:bCs w:val="0"/>
          <w:i w:val="0"/>
          <w:lang w:val="en" w:eastAsia="en-GB"/>
        </w:rPr>
      </w:pPr>
      <w:r>
        <w:rPr>
          <w:rFonts w:cs="Tahoma"/>
          <w:b/>
          <w:bCs w:val="0"/>
          <w:i w:val="0"/>
          <w:lang w:val="en" w:eastAsia="en-GB"/>
        </w:rPr>
        <w:t>2a. W</w:t>
      </w:r>
      <w:r w:rsidRPr="00B040AA">
        <w:rPr>
          <w:rFonts w:cs="Tahoma"/>
          <w:b/>
          <w:bCs w:val="0"/>
          <w:i w:val="0"/>
          <w:lang w:val="en" w:eastAsia="en-GB"/>
        </w:rPr>
        <w:t>hich of these categories best describes you? Please only select one</w:t>
      </w:r>
    </w:p>
    <w:p w14:paraId="228AD8B7" w14:textId="77777777" w:rsidR="00634EAB" w:rsidRPr="0037523D" w:rsidRDefault="00634EAB" w:rsidP="00634EAB">
      <w:pPr>
        <w:spacing w:after="0" w:line="240" w:lineRule="auto"/>
        <w:rPr>
          <w:rFonts w:cs="Tahoma"/>
          <w:color w:val="0A0A0A"/>
          <w:lang w:val="en" w:eastAsia="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070"/>
        <w:gridCol w:w="4677"/>
      </w:tblGrid>
      <w:tr w:rsidR="00634EAB" w:rsidRPr="00B040AA" w14:paraId="60282F29" w14:textId="77777777" w:rsidTr="00284B54">
        <w:trPr>
          <w:trHeight w:val="174"/>
        </w:trPr>
        <w:tc>
          <w:tcPr>
            <w:tcW w:w="5070" w:type="dxa"/>
          </w:tcPr>
          <w:p w14:paraId="43A8BA46" w14:textId="3C91FEB9" w:rsidR="00634EAB" w:rsidRPr="00B040AA" w:rsidRDefault="00921335" w:rsidP="00284B54">
            <w:r>
              <w:rPr>
                <w:rFonts w:ascii="MS Gothic" w:eastAsia="MS Gothic" w:hAnsi="MS Gothic" w:cs="Wingdings-Regular" w:hint="eastAsia"/>
                <w:color w:val="auto"/>
                <w:lang w:eastAsia="en-GB"/>
              </w:rPr>
              <w:t>☐</w:t>
            </w:r>
            <w:r w:rsidR="00634EAB" w:rsidRPr="00B040AA">
              <w:t xml:space="preserve">GP </w:t>
            </w:r>
          </w:p>
        </w:tc>
        <w:tc>
          <w:tcPr>
            <w:tcW w:w="4677" w:type="dxa"/>
          </w:tcPr>
          <w:p w14:paraId="3AFEE872" w14:textId="4C752106" w:rsidR="00634EAB" w:rsidRPr="00B040AA" w:rsidRDefault="00921335" w:rsidP="00284B54">
            <w:r>
              <w:rPr>
                <w:rFonts w:ascii="MS Gothic" w:eastAsia="MS Gothic" w:hAnsi="MS Gothic" w:cs="Wingdings-Regular" w:hint="eastAsia"/>
                <w:color w:val="auto"/>
                <w:lang w:eastAsia="en-GB"/>
              </w:rPr>
              <w:t>☐</w:t>
            </w:r>
            <w:r w:rsidR="00634EAB" w:rsidRPr="00B040AA">
              <w:t xml:space="preserve">Consultant </w:t>
            </w:r>
          </w:p>
        </w:tc>
      </w:tr>
      <w:tr w:rsidR="00634EAB" w:rsidRPr="00B040AA" w14:paraId="548241F9" w14:textId="77777777" w:rsidTr="00284B54">
        <w:trPr>
          <w:trHeight w:val="174"/>
        </w:trPr>
        <w:tc>
          <w:tcPr>
            <w:tcW w:w="5070" w:type="dxa"/>
          </w:tcPr>
          <w:p w14:paraId="00A61842" w14:textId="6CA95156" w:rsidR="00634EAB" w:rsidRPr="00B040AA" w:rsidRDefault="00921335" w:rsidP="00284B54">
            <w:r>
              <w:rPr>
                <w:rFonts w:ascii="MS Gothic" w:eastAsia="MS Gothic" w:hAnsi="MS Gothic" w:cs="Wingdings-Regular" w:hint="eastAsia"/>
                <w:color w:val="auto"/>
                <w:lang w:eastAsia="en-GB"/>
              </w:rPr>
              <w:t>☐</w:t>
            </w:r>
            <w:r w:rsidR="00634EAB" w:rsidRPr="00B040AA">
              <w:t xml:space="preserve">Doctor in training </w:t>
            </w:r>
          </w:p>
        </w:tc>
        <w:tc>
          <w:tcPr>
            <w:tcW w:w="4677" w:type="dxa"/>
          </w:tcPr>
          <w:p w14:paraId="7EFD3FB7" w14:textId="7A728255" w:rsidR="00634EAB" w:rsidRPr="00B040AA" w:rsidRDefault="00921335" w:rsidP="00284B54">
            <w:r>
              <w:rPr>
                <w:rFonts w:ascii="MS Gothic" w:eastAsia="MS Gothic" w:hAnsi="MS Gothic" w:cs="Wingdings-Regular" w:hint="eastAsia"/>
                <w:color w:val="auto"/>
                <w:lang w:eastAsia="en-GB"/>
              </w:rPr>
              <w:t>☐</w:t>
            </w:r>
            <w:r w:rsidR="00634EAB" w:rsidRPr="00B040AA">
              <w:t xml:space="preserve">Staff and Associate Grade </w:t>
            </w:r>
          </w:p>
        </w:tc>
      </w:tr>
      <w:tr w:rsidR="00634EAB" w:rsidRPr="00B040AA" w14:paraId="2704E013" w14:textId="77777777" w:rsidTr="00284B54">
        <w:trPr>
          <w:trHeight w:val="174"/>
        </w:trPr>
        <w:tc>
          <w:tcPr>
            <w:tcW w:w="5070" w:type="dxa"/>
          </w:tcPr>
          <w:p w14:paraId="2429C174" w14:textId="091B9E65" w:rsidR="00634EAB" w:rsidRPr="00B040AA" w:rsidRDefault="00921335" w:rsidP="00284B54">
            <w:r>
              <w:rPr>
                <w:rFonts w:ascii="MS Gothic" w:eastAsia="MS Gothic" w:hAnsi="MS Gothic" w:cs="Wingdings-Regular" w:hint="eastAsia"/>
                <w:color w:val="auto"/>
                <w:lang w:eastAsia="en-GB"/>
              </w:rPr>
              <w:t>☐</w:t>
            </w:r>
            <w:r w:rsidR="00634EAB" w:rsidRPr="00B040AA">
              <w:t xml:space="preserve">Locum (GP) </w:t>
            </w:r>
          </w:p>
        </w:tc>
        <w:tc>
          <w:tcPr>
            <w:tcW w:w="4677" w:type="dxa"/>
          </w:tcPr>
          <w:p w14:paraId="70EF4A5E" w14:textId="5688B805" w:rsidR="00634EAB" w:rsidRPr="00B040AA" w:rsidRDefault="00921335" w:rsidP="00284B54">
            <w:r>
              <w:rPr>
                <w:rFonts w:ascii="MS Gothic" w:eastAsia="MS Gothic" w:hAnsi="MS Gothic" w:cs="Wingdings-Regular" w:hint="eastAsia"/>
                <w:color w:val="auto"/>
                <w:lang w:eastAsia="en-GB"/>
              </w:rPr>
              <w:t>☐</w:t>
            </w:r>
            <w:r w:rsidR="00634EAB" w:rsidRPr="00B040AA">
              <w:t xml:space="preserve">Locum (secondary care) </w:t>
            </w:r>
          </w:p>
        </w:tc>
      </w:tr>
      <w:tr w:rsidR="00634EAB" w:rsidRPr="00B040AA" w14:paraId="272B4D8E" w14:textId="77777777" w:rsidTr="00284B54">
        <w:trPr>
          <w:trHeight w:val="174"/>
        </w:trPr>
        <w:tc>
          <w:tcPr>
            <w:tcW w:w="5070" w:type="dxa"/>
          </w:tcPr>
          <w:p w14:paraId="01151059" w14:textId="13B78FBE" w:rsidR="00634EAB" w:rsidRPr="00B040AA" w:rsidRDefault="00921335" w:rsidP="00284B54">
            <w:r>
              <w:rPr>
                <w:rFonts w:ascii="MS Gothic" w:eastAsia="MS Gothic" w:hAnsi="MS Gothic" w:cs="Wingdings-Regular" w:hint="eastAsia"/>
                <w:color w:val="auto"/>
                <w:lang w:eastAsia="en-GB"/>
              </w:rPr>
              <w:t>☐</w:t>
            </w:r>
            <w:r w:rsidR="00634EAB" w:rsidRPr="00B040AA">
              <w:t xml:space="preserve">Trainer/medical educationalist </w:t>
            </w:r>
          </w:p>
        </w:tc>
        <w:tc>
          <w:tcPr>
            <w:tcW w:w="4677" w:type="dxa"/>
          </w:tcPr>
          <w:p w14:paraId="2020D8D6" w14:textId="31D5708F" w:rsidR="00634EAB" w:rsidRPr="00B040AA" w:rsidRDefault="00921335" w:rsidP="00284B54">
            <w:r>
              <w:rPr>
                <w:rFonts w:ascii="MS Gothic" w:eastAsia="MS Gothic" w:hAnsi="MS Gothic" w:cs="Wingdings-Regular" w:hint="eastAsia"/>
                <w:color w:val="auto"/>
                <w:lang w:eastAsia="en-GB"/>
              </w:rPr>
              <w:t>☐</w:t>
            </w:r>
            <w:r w:rsidR="00634EAB" w:rsidRPr="00B040AA">
              <w:t xml:space="preserve">Responsible Officer/Medical Director </w:t>
            </w:r>
          </w:p>
        </w:tc>
      </w:tr>
      <w:tr w:rsidR="00634EAB" w:rsidRPr="00B040AA" w14:paraId="6535F826" w14:textId="77777777" w:rsidTr="00284B54">
        <w:trPr>
          <w:trHeight w:val="174"/>
        </w:trPr>
        <w:tc>
          <w:tcPr>
            <w:tcW w:w="5070" w:type="dxa"/>
          </w:tcPr>
          <w:p w14:paraId="434B0E53" w14:textId="4F12884C" w:rsidR="00634EAB" w:rsidRPr="00B040AA" w:rsidRDefault="00921335" w:rsidP="00284B54">
            <w:r>
              <w:rPr>
                <w:rFonts w:ascii="MS Gothic" w:eastAsia="MS Gothic" w:hAnsi="MS Gothic" w:cs="Wingdings-Regular" w:hint="eastAsia"/>
                <w:color w:val="auto"/>
                <w:lang w:eastAsia="en-GB"/>
              </w:rPr>
              <w:t>☐</w:t>
            </w:r>
            <w:r w:rsidR="00634EAB" w:rsidRPr="00B040AA">
              <w:t xml:space="preserve">Other leadership or management role </w:t>
            </w:r>
          </w:p>
        </w:tc>
        <w:tc>
          <w:tcPr>
            <w:tcW w:w="4677" w:type="dxa"/>
          </w:tcPr>
          <w:p w14:paraId="31715E28" w14:textId="028E4507" w:rsidR="00634EAB" w:rsidRPr="00B040AA" w:rsidRDefault="00921335" w:rsidP="00284B54">
            <w:r>
              <w:rPr>
                <w:rFonts w:ascii="MS Gothic" w:eastAsia="MS Gothic" w:hAnsi="MS Gothic" w:cs="Wingdings-Regular" w:hint="eastAsia"/>
                <w:color w:val="auto"/>
                <w:lang w:eastAsia="en-GB"/>
              </w:rPr>
              <w:t>☐</w:t>
            </w:r>
            <w:r w:rsidR="00634EAB" w:rsidRPr="00B040AA">
              <w:t xml:space="preserve">Academic researcher </w:t>
            </w:r>
          </w:p>
        </w:tc>
      </w:tr>
      <w:tr w:rsidR="00634EAB" w:rsidRPr="00B040AA" w14:paraId="09846AA1" w14:textId="77777777" w:rsidTr="00284B54">
        <w:trPr>
          <w:trHeight w:val="174"/>
        </w:trPr>
        <w:tc>
          <w:tcPr>
            <w:tcW w:w="5070" w:type="dxa"/>
          </w:tcPr>
          <w:p w14:paraId="627DBEEA" w14:textId="75ED4D52" w:rsidR="00634EAB" w:rsidRPr="00B040AA" w:rsidRDefault="00921335" w:rsidP="00284B54">
            <w:r>
              <w:rPr>
                <w:rFonts w:ascii="MS Gothic" w:eastAsia="MS Gothic" w:hAnsi="MS Gothic" w:cs="Wingdings-Regular" w:hint="eastAsia"/>
                <w:color w:val="auto"/>
                <w:lang w:eastAsia="en-GB"/>
              </w:rPr>
              <w:t>☐</w:t>
            </w:r>
            <w:r w:rsidR="00634EAB" w:rsidRPr="00B040AA">
              <w:t xml:space="preserve">Practising outside the UK </w:t>
            </w:r>
          </w:p>
        </w:tc>
        <w:tc>
          <w:tcPr>
            <w:tcW w:w="4677" w:type="dxa"/>
          </w:tcPr>
          <w:p w14:paraId="0D12138B" w14:textId="57F973A6" w:rsidR="00634EAB" w:rsidRPr="00B040AA" w:rsidRDefault="00921335" w:rsidP="00284B54">
            <w:r>
              <w:rPr>
                <w:rFonts w:ascii="MS Gothic" w:eastAsia="MS Gothic" w:hAnsi="MS Gothic" w:cs="Wingdings-Regular" w:hint="eastAsia"/>
                <w:color w:val="auto"/>
                <w:lang w:eastAsia="en-GB"/>
              </w:rPr>
              <w:t>☐</w:t>
            </w:r>
            <w:r w:rsidR="00634EAB" w:rsidRPr="00B040AA">
              <w:t xml:space="preserve">GMC/MPTS Associate </w:t>
            </w:r>
          </w:p>
        </w:tc>
      </w:tr>
      <w:tr w:rsidR="00634EAB" w:rsidRPr="00B040AA" w14:paraId="419085B8" w14:textId="77777777" w:rsidTr="00284B54">
        <w:trPr>
          <w:trHeight w:val="174"/>
        </w:trPr>
        <w:tc>
          <w:tcPr>
            <w:tcW w:w="9747" w:type="dxa"/>
            <w:gridSpan w:val="2"/>
          </w:tcPr>
          <w:p w14:paraId="37FB5FA1" w14:textId="15F5EC5B" w:rsidR="00634EAB" w:rsidRPr="00B040AA" w:rsidRDefault="00921335" w:rsidP="00284B54">
            <w:r>
              <w:rPr>
                <w:rFonts w:ascii="MS Gothic" w:eastAsia="MS Gothic" w:hAnsi="MS Gothic" w:cs="Wingdings-Regular" w:hint="eastAsia"/>
                <w:color w:val="auto"/>
                <w:lang w:eastAsia="en-GB"/>
              </w:rPr>
              <w:t>☐</w:t>
            </w:r>
            <w:r w:rsidR="00634EAB" w:rsidRPr="00B040AA">
              <w:t xml:space="preserve">Retired </w:t>
            </w:r>
          </w:p>
        </w:tc>
      </w:tr>
    </w:tbl>
    <w:p w14:paraId="6066C2B4" w14:textId="14E6DF05" w:rsidR="00634EAB" w:rsidRPr="001D5F8E" w:rsidRDefault="00921335" w:rsidP="00634EAB">
      <w:pPr>
        <w:spacing w:after="0" w:line="240" w:lineRule="auto"/>
        <w:rPr>
          <w:rFonts w:cs="Tahoma"/>
          <w:color w:val="0A0A0A"/>
          <w:lang w:eastAsia="en-GB"/>
        </w:rPr>
      </w:pPr>
      <w:r>
        <w:rPr>
          <w:rFonts w:ascii="MS Gothic" w:eastAsia="MS Gothic" w:hAnsi="MS Gothic" w:cs="Wingdings-Regular" w:hint="eastAsia"/>
          <w:color w:val="auto"/>
          <w:lang w:eastAsia="en-GB"/>
        </w:rPr>
        <w:t>☐</w:t>
      </w:r>
      <w:r w:rsidR="00634EAB" w:rsidRPr="001D5F8E">
        <w:rPr>
          <w:rFonts w:cs="Tahoma"/>
          <w:color w:val="0A0A0A"/>
          <w:lang w:eastAsia="en-GB"/>
        </w:rPr>
        <w:t>Other clinical practice (</w:t>
      </w:r>
      <w:proofErr w:type="gramStart"/>
      <w:r w:rsidR="00634EAB" w:rsidRPr="001D5F8E">
        <w:rPr>
          <w:rFonts w:cs="Tahoma"/>
          <w:color w:val="0A0A0A"/>
          <w:lang w:eastAsia="en-GB"/>
        </w:rPr>
        <w:t>e.g.</w:t>
      </w:r>
      <w:proofErr w:type="gramEnd"/>
      <w:r w:rsidR="00634EAB" w:rsidRPr="001D5F8E">
        <w:rPr>
          <w:rFonts w:cs="Tahoma"/>
          <w:color w:val="0A0A0A"/>
          <w:lang w:eastAsia="en-GB"/>
        </w:rPr>
        <w:t xml:space="preserve"> prison health service). Please say what: </w:t>
      </w:r>
    </w:p>
    <w:p w14:paraId="61484B94" w14:textId="77777777" w:rsidR="00634EAB" w:rsidRDefault="00634EAB" w:rsidP="00634EAB">
      <w:pPr>
        <w:spacing w:after="0" w:line="240" w:lineRule="auto"/>
        <w:rPr>
          <w:rFonts w:cs="Tahoma"/>
          <w:color w:val="0A0A0A"/>
          <w:lang w:eastAsia="en-GB"/>
        </w:rPr>
      </w:pPr>
    </w:p>
    <w:tbl>
      <w:tblPr>
        <w:tblStyle w:val="TableGrid"/>
        <w:tblW w:w="0" w:type="auto"/>
        <w:tblLook w:val="04A0" w:firstRow="1" w:lastRow="0" w:firstColumn="1" w:lastColumn="0" w:noHBand="0" w:noVBand="1"/>
      </w:tblPr>
      <w:tblGrid>
        <w:gridCol w:w="9629"/>
      </w:tblGrid>
      <w:tr w:rsidR="00634EAB" w14:paraId="5BFEF14A" w14:textId="77777777" w:rsidTr="00284B54">
        <w:tc>
          <w:tcPr>
            <w:tcW w:w="9629" w:type="dxa"/>
          </w:tcPr>
          <w:p w14:paraId="2D8864F4" w14:textId="47E5C8A3" w:rsidR="00634EAB" w:rsidRDefault="00634EAB" w:rsidP="00284B54">
            <w:pPr>
              <w:spacing w:after="0" w:line="240" w:lineRule="auto"/>
              <w:rPr>
                <w:rFonts w:cs="Tahoma"/>
                <w:color w:val="0A0A0A"/>
                <w:lang w:eastAsia="en-GB"/>
              </w:rPr>
            </w:pPr>
          </w:p>
          <w:p w14:paraId="6495A59A" w14:textId="77777777" w:rsidR="00634EAB" w:rsidRDefault="00634EAB" w:rsidP="00284B54">
            <w:pPr>
              <w:spacing w:after="0" w:line="240" w:lineRule="auto"/>
              <w:rPr>
                <w:rFonts w:cs="Tahoma"/>
                <w:color w:val="0A0A0A"/>
                <w:lang w:eastAsia="en-GB"/>
              </w:rPr>
            </w:pPr>
          </w:p>
        </w:tc>
      </w:tr>
    </w:tbl>
    <w:p w14:paraId="5E7B96BF" w14:textId="77777777" w:rsidR="00634EAB" w:rsidRDefault="00634EAB" w:rsidP="00634EAB">
      <w:pPr>
        <w:spacing w:after="0" w:line="240" w:lineRule="auto"/>
        <w:rPr>
          <w:rFonts w:cs="Tahoma"/>
          <w:color w:val="0A0A0A"/>
          <w:lang w:eastAsia="en-GB"/>
        </w:rPr>
      </w:pPr>
    </w:p>
    <w:p w14:paraId="465308AF" w14:textId="77777777" w:rsidR="00634EAB" w:rsidRDefault="00634EAB" w:rsidP="00634EAB">
      <w:pPr>
        <w:spacing w:after="0" w:line="240" w:lineRule="auto"/>
        <w:rPr>
          <w:rFonts w:cs="Tahoma"/>
          <w:color w:val="0A0A0A"/>
          <w:lang w:eastAsia="en-GB"/>
        </w:rPr>
      </w:pPr>
    </w:p>
    <w:p w14:paraId="7A80FF9B" w14:textId="178AA31B" w:rsidR="00634EAB" w:rsidRDefault="001E3D9E" w:rsidP="00634EAB">
      <w:pPr>
        <w:spacing w:after="0" w:line="240" w:lineRule="auto"/>
        <w:rPr>
          <w:rFonts w:cs="Tahoma"/>
          <w:color w:val="0A0A0A"/>
          <w:lang w:eastAsia="en-GB"/>
        </w:rPr>
      </w:pPr>
      <w:sdt>
        <w:sdtPr>
          <w:rPr>
            <w:rFonts w:ascii="Wingdings-Regular" w:eastAsia="Wingdings-Regular" w:cs="Wingdings-Regular" w:hint="eastAsia"/>
            <w:color w:val="auto"/>
            <w:lang w:eastAsia="en-GB"/>
          </w:rPr>
          <w:id w:val="554981493"/>
          <w14:checkbox>
            <w14:checked w14:val="0"/>
            <w14:checkedState w14:val="2612" w14:font="MS Gothic"/>
            <w14:uncheckedState w14:val="2610" w14:font="MS Gothic"/>
          </w14:checkbox>
        </w:sdtPr>
        <w:sdtEndPr/>
        <w:sdtContent>
          <w:r w:rsidR="00921335">
            <w:rPr>
              <w:rFonts w:ascii="MS Gothic" w:eastAsia="MS Gothic" w:hAnsi="MS Gothic" w:cs="Wingdings-Regular" w:hint="eastAsia"/>
              <w:color w:val="auto"/>
              <w:lang w:eastAsia="en-GB"/>
            </w:rPr>
            <w:t>☐</w:t>
          </w:r>
        </w:sdtContent>
      </w:sdt>
      <w:r w:rsidR="00634EAB" w:rsidRPr="001D5F8E">
        <w:rPr>
          <w:rFonts w:cs="Tahoma"/>
          <w:color w:val="0A0A0A"/>
          <w:lang w:eastAsia="en-GB"/>
        </w:rPr>
        <w:t>Other non-clinical practice. Please say what:</w:t>
      </w:r>
    </w:p>
    <w:tbl>
      <w:tblPr>
        <w:tblStyle w:val="TableGrid"/>
        <w:tblW w:w="0" w:type="auto"/>
        <w:tblLook w:val="04A0" w:firstRow="1" w:lastRow="0" w:firstColumn="1" w:lastColumn="0" w:noHBand="0" w:noVBand="1"/>
      </w:tblPr>
      <w:tblGrid>
        <w:gridCol w:w="9629"/>
      </w:tblGrid>
      <w:tr w:rsidR="00634EAB" w14:paraId="68323FC4" w14:textId="77777777" w:rsidTr="00284B54">
        <w:tc>
          <w:tcPr>
            <w:tcW w:w="9629" w:type="dxa"/>
          </w:tcPr>
          <w:p w14:paraId="41DADBF0" w14:textId="554EEF5A" w:rsidR="00634EAB" w:rsidRDefault="00634EAB" w:rsidP="00284B54">
            <w:pPr>
              <w:spacing w:after="0" w:line="240" w:lineRule="auto"/>
              <w:rPr>
                <w:rFonts w:cs="Tahoma"/>
                <w:color w:val="0A0A0A"/>
                <w:lang w:val="en" w:eastAsia="en-GB"/>
              </w:rPr>
            </w:pPr>
          </w:p>
          <w:p w14:paraId="04345F22" w14:textId="77777777" w:rsidR="00634EAB" w:rsidRDefault="00634EAB" w:rsidP="00284B54">
            <w:pPr>
              <w:spacing w:after="0" w:line="240" w:lineRule="auto"/>
              <w:rPr>
                <w:rFonts w:cs="Tahoma"/>
                <w:color w:val="0A0A0A"/>
                <w:lang w:val="en" w:eastAsia="en-GB"/>
              </w:rPr>
            </w:pPr>
          </w:p>
        </w:tc>
      </w:tr>
    </w:tbl>
    <w:p w14:paraId="6AC526AE" w14:textId="77777777" w:rsidR="00634EAB" w:rsidRDefault="00634EAB" w:rsidP="00634EAB">
      <w:pPr>
        <w:rPr>
          <w:b/>
          <w:bCs/>
          <w:lang w:val="en" w:eastAsia="en-GB"/>
        </w:rPr>
      </w:pPr>
    </w:p>
    <w:p w14:paraId="2869D14E" w14:textId="77777777" w:rsidR="00634EAB" w:rsidRPr="00F51C60" w:rsidRDefault="00634EAB" w:rsidP="00634EAB">
      <w:pPr>
        <w:rPr>
          <w:b/>
          <w:bCs/>
          <w:lang w:val="en" w:eastAsia="en-GB"/>
        </w:rPr>
      </w:pPr>
      <w:r>
        <w:rPr>
          <w:b/>
          <w:bCs/>
          <w:lang w:val="en" w:eastAsia="en-GB"/>
        </w:rPr>
        <w:t>2b. W</w:t>
      </w:r>
      <w:r w:rsidRPr="00F51C60">
        <w:rPr>
          <w:b/>
          <w:bCs/>
          <w:lang w:val="en" w:eastAsia="en-GB"/>
        </w:rPr>
        <w:t>here were you awarded your PMQ?</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01"/>
        <w:gridCol w:w="3827"/>
        <w:gridCol w:w="4483"/>
      </w:tblGrid>
      <w:tr w:rsidR="00634EAB" w14:paraId="79A7DBA4" w14:textId="77777777" w:rsidTr="00CE3210">
        <w:trPr>
          <w:trHeight w:val="80"/>
        </w:trPr>
        <w:tc>
          <w:tcPr>
            <w:tcW w:w="1101" w:type="dxa"/>
          </w:tcPr>
          <w:p w14:paraId="7E8F6CFB" w14:textId="384AF533" w:rsidR="00634EAB" w:rsidRDefault="00921335" w:rsidP="00284B54">
            <w:pPr>
              <w:pStyle w:val="Default"/>
              <w:rPr>
                <w:rFonts w:ascii="Tahoma" w:hAnsi="Tahoma" w:cs="Tahoma"/>
                <w:sz w:val="23"/>
                <w:szCs w:val="23"/>
              </w:rPr>
            </w:pPr>
            <w:r>
              <w:rPr>
                <w:rFonts w:ascii="MS Gothic" w:eastAsia="MS Gothic" w:hAnsi="MS Gothic" w:cs="Wingdings-Regular" w:hint="eastAsia"/>
                <w:color w:val="auto"/>
              </w:rPr>
              <w:t>☐</w:t>
            </w:r>
            <w:r w:rsidR="00634EAB">
              <w:rPr>
                <w:rFonts w:ascii="Tahoma" w:hAnsi="Tahoma" w:cs="Tahoma"/>
                <w:sz w:val="23"/>
                <w:szCs w:val="23"/>
              </w:rPr>
              <w:t xml:space="preserve">UK </w:t>
            </w:r>
          </w:p>
        </w:tc>
        <w:tc>
          <w:tcPr>
            <w:tcW w:w="3827" w:type="dxa"/>
          </w:tcPr>
          <w:p w14:paraId="5F54DC9B" w14:textId="14171744" w:rsidR="00634EAB" w:rsidRDefault="00921335" w:rsidP="00284B54">
            <w:pPr>
              <w:pStyle w:val="Default"/>
              <w:rPr>
                <w:rFonts w:ascii="Tahoma" w:hAnsi="Tahoma" w:cs="Tahoma"/>
                <w:sz w:val="23"/>
                <w:szCs w:val="23"/>
              </w:rPr>
            </w:pPr>
            <w:r>
              <w:rPr>
                <w:rFonts w:ascii="MS Gothic" w:eastAsia="MS Gothic" w:hAnsi="MS Gothic" w:cs="Wingdings-Regular" w:hint="eastAsia"/>
                <w:color w:val="auto"/>
              </w:rPr>
              <w:t>☐</w:t>
            </w:r>
            <w:r w:rsidR="00634EAB">
              <w:rPr>
                <w:rFonts w:ascii="Tahoma" w:hAnsi="Tahoma" w:cs="Tahoma"/>
                <w:sz w:val="23"/>
                <w:szCs w:val="23"/>
              </w:rPr>
              <w:t xml:space="preserve">European Economic Area (EEA) </w:t>
            </w:r>
          </w:p>
        </w:tc>
        <w:tc>
          <w:tcPr>
            <w:tcW w:w="4483" w:type="dxa"/>
          </w:tcPr>
          <w:p w14:paraId="55A01739" w14:textId="03AAFC81" w:rsidR="00634EAB" w:rsidRDefault="00921335" w:rsidP="00284B54">
            <w:pPr>
              <w:pStyle w:val="Default"/>
              <w:rPr>
                <w:rFonts w:ascii="Tahoma" w:hAnsi="Tahoma" w:cs="Tahoma"/>
                <w:sz w:val="23"/>
                <w:szCs w:val="23"/>
              </w:rPr>
            </w:pPr>
            <w:r>
              <w:rPr>
                <w:rFonts w:ascii="MS Gothic" w:eastAsia="MS Gothic" w:hAnsi="MS Gothic" w:cs="Wingdings-Regular" w:hint="eastAsia"/>
                <w:color w:val="auto"/>
              </w:rPr>
              <w:t>☐</w:t>
            </w:r>
            <w:r w:rsidR="00634EAB">
              <w:rPr>
                <w:rFonts w:ascii="Tahoma" w:hAnsi="Tahoma" w:cs="Tahoma"/>
                <w:sz w:val="23"/>
                <w:szCs w:val="23"/>
              </w:rPr>
              <w:t>Rest of the world</w:t>
            </w:r>
          </w:p>
        </w:tc>
      </w:tr>
    </w:tbl>
    <w:p w14:paraId="37A21F09" w14:textId="77777777" w:rsidR="00634EAB" w:rsidRDefault="00634EAB" w:rsidP="00634EAB">
      <w:pPr>
        <w:pStyle w:val="Heading3"/>
        <w:rPr>
          <w:lang w:val="en" w:eastAsia="en-GB"/>
        </w:rPr>
      </w:pPr>
      <w:r>
        <w:rPr>
          <w:lang w:val="en" w:eastAsia="en-GB"/>
        </w:rPr>
        <w:t>Demographic questions</w:t>
      </w:r>
    </w:p>
    <w:tbl>
      <w:tblPr>
        <w:tblStyle w:val="TableGrid"/>
        <w:tblW w:w="0" w:type="auto"/>
        <w:tblLook w:val="04A0" w:firstRow="1" w:lastRow="0" w:firstColumn="1" w:lastColumn="0" w:noHBand="0" w:noVBand="1"/>
      </w:tblPr>
      <w:tblGrid>
        <w:gridCol w:w="9629"/>
      </w:tblGrid>
      <w:tr w:rsidR="00634EAB" w:rsidRPr="00080ED2" w14:paraId="0949B53F" w14:textId="77777777" w:rsidTr="00284B54">
        <w:tc>
          <w:tcPr>
            <w:tcW w:w="9629" w:type="dxa"/>
          </w:tcPr>
          <w:p w14:paraId="618D6ADE" w14:textId="77777777" w:rsidR="00634EAB" w:rsidRPr="00080ED2" w:rsidRDefault="00634EAB" w:rsidP="00284B54">
            <w:r w:rsidRPr="00080ED2">
              <w:t>In this section we ask for information about your background. We use this information to help make sure we are consulting as widely as possible. Specifically</w:t>
            </w:r>
            <w:r>
              <w:t xml:space="preserve">, </w:t>
            </w:r>
            <w:r w:rsidRPr="00080ED2">
              <w:t xml:space="preserve">we use this information when we analyse responses to make sure we understand the impact of our proposals on </w:t>
            </w:r>
            <w:hyperlink r:id="rId28" w:history="1">
              <w:r w:rsidRPr="00080ED2">
                <w:rPr>
                  <w:rStyle w:val="Hyperlink"/>
                </w:rPr>
                <w:t>diverse groups</w:t>
              </w:r>
            </w:hyperlink>
            <w:r>
              <w:rPr>
                <w:rStyle w:val="Hyperlink"/>
              </w:rPr>
              <w:t>.</w:t>
            </w:r>
            <w:r>
              <w:rPr>
                <w:rStyle w:val="FootnoteReference"/>
                <w:color w:val="0000FF"/>
                <w:u w:val="single"/>
              </w:rPr>
              <w:footnoteReference w:id="11"/>
            </w:r>
            <w:r w:rsidRPr="00080ED2">
              <w:t xml:space="preserve"> Although we will use this information in the analysis of the consultation response</w:t>
            </w:r>
            <w:r>
              <w:t xml:space="preserve">, </w:t>
            </w:r>
            <w:r w:rsidRPr="00080ED2">
              <w:t>it will not be linked to your response in the reporting process.</w:t>
            </w:r>
          </w:p>
        </w:tc>
      </w:tr>
    </w:tbl>
    <w:p w14:paraId="6BBAE942" w14:textId="77777777" w:rsidR="00634EAB" w:rsidRPr="0037523D" w:rsidRDefault="00634EAB" w:rsidP="00634EAB">
      <w:pPr>
        <w:spacing w:after="0" w:line="240" w:lineRule="auto"/>
        <w:rPr>
          <w:rFonts w:cs="Tahoma"/>
          <w:color w:val="0A0A0A"/>
          <w:lang w:val="en" w:eastAsia="en-GB"/>
        </w:rPr>
      </w:pPr>
    </w:p>
    <w:p w14:paraId="7C936BBB" w14:textId="77777777" w:rsidR="00634EAB" w:rsidRPr="00D53C0C" w:rsidRDefault="00634EAB" w:rsidP="00634EAB">
      <w:pPr>
        <w:rPr>
          <w:b/>
        </w:rPr>
      </w:pPr>
      <w:r>
        <w:rPr>
          <w:b/>
        </w:rPr>
        <w:t xml:space="preserve">3. </w:t>
      </w:r>
      <w:r w:rsidRPr="00D53C0C">
        <w:rPr>
          <w:b/>
        </w:rPr>
        <w:t>What is your age?</w:t>
      </w:r>
    </w:p>
    <w:tbl>
      <w:tblPr>
        <w:tblW w:w="0" w:type="auto"/>
        <w:tblInd w:w="-108" w:type="dxa"/>
        <w:tblLayout w:type="fixed"/>
        <w:tblLook w:val="0000" w:firstRow="0" w:lastRow="0" w:firstColumn="0" w:lastColumn="0" w:noHBand="0" w:noVBand="0"/>
      </w:tblPr>
      <w:tblGrid>
        <w:gridCol w:w="2513"/>
        <w:gridCol w:w="2459"/>
        <w:gridCol w:w="2486"/>
      </w:tblGrid>
      <w:tr w:rsidR="00634EAB" w:rsidRPr="001D5F8E" w14:paraId="05AD398A" w14:textId="77777777" w:rsidTr="00284B54">
        <w:trPr>
          <w:trHeight w:val="174"/>
        </w:trPr>
        <w:tc>
          <w:tcPr>
            <w:tcW w:w="2513" w:type="dxa"/>
          </w:tcPr>
          <w:p w14:paraId="3E98CE5C" w14:textId="1B42679A"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0–18 </w:t>
            </w:r>
          </w:p>
        </w:tc>
        <w:tc>
          <w:tcPr>
            <w:tcW w:w="2459" w:type="dxa"/>
          </w:tcPr>
          <w:p w14:paraId="073168C8" w14:textId="4C545587"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19–24 </w:t>
            </w:r>
          </w:p>
        </w:tc>
        <w:tc>
          <w:tcPr>
            <w:tcW w:w="2486" w:type="dxa"/>
          </w:tcPr>
          <w:p w14:paraId="0D8D6D77" w14:textId="1ED9CAC2"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25–34 </w:t>
            </w:r>
          </w:p>
        </w:tc>
      </w:tr>
      <w:tr w:rsidR="00634EAB" w:rsidRPr="001D5F8E" w14:paraId="30282DCF" w14:textId="77777777" w:rsidTr="00284B54">
        <w:trPr>
          <w:trHeight w:val="174"/>
        </w:trPr>
        <w:tc>
          <w:tcPr>
            <w:tcW w:w="2513" w:type="dxa"/>
          </w:tcPr>
          <w:p w14:paraId="6185054C" w14:textId="71EDE287"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35–44 </w:t>
            </w:r>
          </w:p>
        </w:tc>
        <w:tc>
          <w:tcPr>
            <w:tcW w:w="2459" w:type="dxa"/>
          </w:tcPr>
          <w:p w14:paraId="47292E38" w14:textId="78571C47"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45–54 </w:t>
            </w:r>
          </w:p>
        </w:tc>
        <w:tc>
          <w:tcPr>
            <w:tcW w:w="2486" w:type="dxa"/>
          </w:tcPr>
          <w:p w14:paraId="11DEEC9E" w14:textId="12E8B4C8"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55–64 </w:t>
            </w:r>
          </w:p>
        </w:tc>
      </w:tr>
      <w:tr w:rsidR="00634EAB" w:rsidRPr="001D5F8E" w14:paraId="538399CD" w14:textId="77777777" w:rsidTr="00284B54">
        <w:trPr>
          <w:trHeight w:val="174"/>
        </w:trPr>
        <w:tc>
          <w:tcPr>
            <w:tcW w:w="2513" w:type="dxa"/>
          </w:tcPr>
          <w:p w14:paraId="107231D3" w14:textId="0DECC047"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65+ </w:t>
            </w:r>
          </w:p>
        </w:tc>
        <w:tc>
          <w:tcPr>
            <w:tcW w:w="4945" w:type="dxa"/>
            <w:gridSpan w:val="2"/>
          </w:tcPr>
          <w:p w14:paraId="07EE140B" w14:textId="51FBDF4F" w:rsidR="00634EAB" w:rsidRPr="001D5F8E"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1D5F8E">
              <w:rPr>
                <w:rFonts w:eastAsia="Wingdings-Regular"/>
                <w:lang w:eastAsia="en-GB"/>
              </w:rPr>
              <w:t xml:space="preserve">Prefer not to say. </w:t>
            </w:r>
          </w:p>
        </w:tc>
      </w:tr>
    </w:tbl>
    <w:p w14:paraId="7AB022F6" w14:textId="77777777" w:rsidR="00634EAB" w:rsidRDefault="00634EAB" w:rsidP="00634EAB">
      <w:pPr>
        <w:autoSpaceDE w:val="0"/>
        <w:autoSpaceDN w:val="0"/>
        <w:adjustRightInd w:val="0"/>
        <w:spacing w:after="0" w:line="240" w:lineRule="auto"/>
        <w:rPr>
          <w:b/>
        </w:rPr>
      </w:pPr>
    </w:p>
    <w:p w14:paraId="523A413C" w14:textId="77777777" w:rsidR="00634EAB" w:rsidRPr="00D53C0C" w:rsidRDefault="00634EAB" w:rsidP="00634EAB">
      <w:pPr>
        <w:autoSpaceDE w:val="0"/>
        <w:autoSpaceDN w:val="0"/>
        <w:adjustRightInd w:val="0"/>
        <w:spacing w:after="0" w:line="240" w:lineRule="auto"/>
        <w:rPr>
          <w:b/>
        </w:rPr>
      </w:pPr>
      <w:r>
        <w:rPr>
          <w:b/>
        </w:rPr>
        <w:t xml:space="preserve">4. </w:t>
      </w:r>
      <w:r w:rsidRPr="00D53C0C">
        <w:rPr>
          <w:b/>
        </w:rPr>
        <w:t xml:space="preserve">What is your </w:t>
      </w:r>
      <w:r>
        <w:rPr>
          <w:b/>
        </w:rPr>
        <w:t>sex</w:t>
      </w:r>
      <w:r w:rsidRPr="00D53C0C">
        <w:rPr>
          <w:b/>
        </w:rPr>
        <w:t>?</w:t>
      </w:r>
    </w:p>
    <w:p w14:paraId="1FE57D08" w14:textId="77777777" w:rsidR="00634EAB" w:rsidRDefault="00634EAB" w:rsidP="00634EAB">
      <w:pPr>
        <w:autoSpaceDE w:val="0"/>
        <w:autoSpaceDN w:val="0"/>
        <w:adjustRightInd w:val="0"/>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738"/>
        <w:gridCol w:w="3210"/>
      </w:tblGrid>
      <w:tr w:rsidR="00634EAB" w14:paraId="10D4561A" w14:textId="77777777" w:rsidTr="00284B54">
        <w:tc>
          <w:tcPr>
            <w:tcW w:w="3681" w:type="dxa"/>
          </w:tcPr>
          <w:p w14:paraId="41FA5467" w14:textId="0D08514B" w:rsidR="00634EAB" w:rsidRDefault="00921335" w:rsidP="00284B54">
            <w:r>
              <w:rPr>
                <w:rFonts w:ascii="MS Gothic" w:eastAsia="MS Gothic" w:hAnsi="MS Gothic" w:cs="Wingdings-Regular" w:hint="eastAsia"/>
                <w:color w:val="auto"/>
                <w:lang w:eastAsia="en-GB"/>
              </w:rPr>
              <w:t>☐</w:t>
            </w:r>
            <w:r w:rsidR="00634EAB">
              <w:t>Female</w:t>
            </w:r>
          </w:p>
        </w:tc>
        <w:tc>
          <w:tcPr>
            <w:tcW w:w="2738" w:type="dxa"/>
          </w:tcPr>
          <w:p w14:paraId="3B84CB9C" w14:textId="41A78132" w:rsidR="00634EAB" w:rsidRDefault="00921335" w:rsidP="00284B54">
            <w:r>
              <w:rPr>
                <w:rFonts w:ascii="MS Gothic" w:eastAsia="MS Gothic" w:hAnsi="MS Gothic" w:cs="Wingdings-Regular" w:hint="eastAsia"/>
                <w:color w:val="auto"/>
                <w:lang w:eastAsia="en-GB"/>
              </w:rPr>
              <w:t>☐</w:t>
            </w:r>
            <w:r w:rsidR="00634EAB">
              <w:t>Male</w:t>
            </w:r>
          </w:p>
        </w:tc>
        <w:tc>
          <w:tcPr>
            <w:tcW w:w="3210" w:type="dxa"/>
          </w:tcPr>
          <w:p w14:paraId="7083F17E" w14:textId="100D25CB" w:rsidR="00634EAB" w:rsidRDefault="00921335" w:rsidP="00284B54">
            <w:r>
              <w:rPr>
                <w:rFonts w:ascii="MS Gothic" w:eastAsia="MS Gothic" w:hAnsi="MS Gothic" w:cs="Wingdings-Regular" w:hint="eastAsia"/>
                <w:color w:val="auto"/>
                <w:lang w:eastAsia="en-GB"/>
              </w:rPr>
              <w:t>☐</w:t>
            </w:r>
            <w:r w:rsidR="00634EAB" w:rsidRPr="00AB7983">
              <w:t>Prefer not to say</w:t>
            </w:r>
          </w:p>
        </w:tc>
      </w:tr>
    </w:tbl>
    <w:p w14:paraId="3CF7E981" w14:textId="77777777" w:rsidR="00634EAB" w:rsidRDefault="00634EAB" w:rsidP="00634EAB">
      <w:pPr>
        <w:autoSpaceDE w:val="0"/>
        <w:autoSpaceDN w:val="0"/>
        <w:adjustRightInd w:val="0"/>
        <w:spacing w:after="0" w:line="240" w:lineRule="auto"/>
      </w:pPr>
    </w:p>
    <w:p w14:paraId="0DC5CD56" w14:textId="77777777" w:rsidR="00634EAB" w:rsidRDefault="00634EAB" w:rsidP="00634EAB">
      <w:pPr>
        <w:autoSpaceDE w:val="0"/>
        <w:autoSpaceDN w:val="0"/>
        <w:adjustRightInd w:val="0"/>
        <w:spacing w:after="0" w:line="240" w:lineRule="auto"/>
      </w:pPr>
    </w:p>
    <w:p w14:paraId="78631D0D" w14:textId="77777777" w:rsidR="00634EAB" w:rsidRDefault="00634EAB" w:rsidP="00634EAB">
      <w:pPr>
        <w:rPr>
          <w:b/>
          <w:bCs/>
        </w:rPr>
      </w:pPr>
      <w:r>
        <w:rPr>
          <w:b/>
          <w:bCs/>
        </w:rPr>
        <w:t xml:space="preserve">5. </w:t>
      </w:r>
      <w:r w:rsidRPr="00776CC6">
        <w:rPr>
          <w:b/>
          <w:bCs/>
        </w:rPr>
        <w:t>Is the gender you identify with the same as your sex registered at birth?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34EAB" w14:paraId="741C0E49" w14:textId="77777777" w:rsidTr="00284B54">
        <w:tc>
          <w:tcPr>
            <w:tcW w:w="4814" w:type="dxa"/>
          </w:tcPr>
          <w:p w14:paraId="0D5E8080" w14:textId="63CEB683" w:rsidR="00634EAB" w:rsidRDefault="00921335" w:rsidP="00284B54">
            <w:pPr>
              <w:rPr>
                <w:b/>
                <w:bCs/>
              </w:rPr>
            </w:pPr>
            <w:r>
              <w:rPr>
                <w:rFonts w:ascii="MS Gothic" w:eastAsia="MS Gothic" w:hAnsi="MS Gothic" w:hint="eastAsia"/>
                <w:lang w:eastAsia="en-GB"/>
              </w:rPr>
              <w:t>☐</w:t>
            </w:r>
            <w:r w:rsidR="00634EAB">
              <w:rPr>
                <w:rFonts w:eastAsia="Wingdings-Regular"/>
                <w:lang w:eastAsia="en-GB"/>
              </w:rPr>
              <w:t>Yes</w:t>
            </w:r>
          </w:p>
        </w:tc>
        <w:tc>
          <w:tcPr>
            <w:tcW w:w="4815" w:type="dxa"/>
          </w:tcPr>
          <w:p w14:paraId="7D745CE1" w14:textId="574D0B58" w:rsidR="00634EAB" w:rsidRDefault="00921335" w:rsidP="00284B54">
            <w:pPr>
              <w:rPr>
                <w:b/>
                <w:bCs/>
              </w:rPr>
            </w:pPr>
            <w:r>
              <w:rPr>
                <w:rFonts w:ascii="MS Gothic" w:eastAsia="MS Gothic" w:hAnsi="MS Gothic" w:hint="eastAsia"/>
                <w:lang w:eastAsia="en-GB"/>
              </w:rPr>
              <w:t>☐</w:t>
            </w:r>
            <w:r w:rsidR="00634EAB">
              <w:rPr>
                <w:rFonts w:eastAsia="Wingdings-Regular"/>
                <w:lang w:eastAsia="en-GB"/>
              </w:rPr>
              <w:t>No</w:t>
            </w:r>
          </w:p>
        </w:tc>
      </w:tr>
      <w:tr w:rsidR="00634EAB" w14:paraId="25DA6070" w14:textId="77777777" w:rsidTr="00284B54">
        <w:tc>
          <w:tcPr>
            <w:tcW w:w="4814" w:type="dxa"/>
          </w:tcPr>
          <w:p w14:paraId="735CEBBF" w14:textId="4CCCCB07" w:rsidR="00634EAB" w:rsidRDefault="00921335" w:rsidP="00284B54">
            <w:pPr>
              <w:rPr>
                <w:rFonts w:eastAsia="Wingdings-Regular"/>
                <w:lang w:eastAsia="en-GB"/>
              </w:rPr>
            </w:pPr>
            <w:r>
              <w:rPr>
                <w:rFonts w:ascii="MS Gothic" w:eastAsia="MS Gothic" w:hAnsi="MS Gothic" w:hint="eastAsia"/>
                <w:lang w:eastAsia="en-GB"/>
              </w:rPr>
              <w:t>☐</w:t>
            </w:r>
            <w:r w:rsidR="00634EAB">
              <w:rPr>
                <w:rFonts w:eastAsia="Wingdings-Regular"/>
                <w:lang w:eastAsia="en-GB"/>
              </w:rPr>
              <w:t>Prefer not to say</w:t>
            </w:r>
          </w:p>
        </w:tc>
        <w:tc>
          <w:tcPr>
            <w:tcW w:w="4815" w:type="dxa"/>
          </w:tcPr>
          <w:p w14:paraId="4ECCE783" w14:textId="77777777" w:rsidR="00634EAB" w:rsidRDefault="00634EAB" w:rsidP="00284B54">
            <w:pPr>
              <w:rPr>
                <w:rFonts w:eastAsia="Wingdings-Regular"/>
                <w:lang w:eastAsia="en-GB"/>
              </w:rPr>
            </w:pPr>
          </w:p>
        </w:tc>
      </w:tr>
    </w:tbl>
    <w:p w14:paraId="45B265FB" w14:textId="77777777" w:rsidR="00634EAB" w:rsidRDefault="00634EAB" w:rsidP="00634EAB">
      <w:r>
        <w:rPr>
          <w:b/>
          <w:bCs/>
        </w:rPr>
        <w:t>5a. If you selected ‘no’ to the last question, how</w:t>
      </w:r>
      <w:r w:rsidRPr="00C67D80">
        <w:rPr>
          <w:b/>
          <w:bCs/>
        </w:rPr>
        <w:t xml:space="preserve"> would you prefer to self</w:t>
      </w:r>
      <w:r>
        <w:rPr>
          <w:b/>
          <w:bCs/>
        </w:rPr>
        <w:noBreakHyphen/>
      </w:r>
      <w:r w:rsidRPr="00C67D80">
        <w:rPr>
          <w:b/>
          <w:bCs/>
        </w:rPr>
        <w:t>describe your gender?</w:t>
      </w:r>
      <w:r>
        <w:t xml:space="preserve"> </w:t>
      </w:r>
    </w:p>
    <w:tbl>
      <w:tblPr>
        <w:tblStyle w:val="TableGrid"/>
        <w:tblW w:w="0" w:type="auto"/>
        <w:tblLook w:val="04A0" w:firstRow="1" w:lastRow="0" w:firstColumn="1" w:lastColumn="0" w:noHBand="0" w:noVBand="1"/>
      </w:tblPr>
      <w:tblGrid>
        <w:gridCol w:w="9629"/>
      </w:tblGrid>
      <w:tr w:rsidR="00634EAB" w14:paraId="40481B87" w14:textId="77777777" w:rsidTr="00284B54">
        <w:tc>
          <w:tcPr>
            <w:tcW w:w="9629" w:type="dxa"/>
          </w:tcPr>
          <w:p w14:paraId="67FF17FC" w14:textId="0C3CA499" w:rsidR="00634EAB" w:rsidRDefault="00634EAB" w:rsidP="00284B54"/>
        </w:tc>
      </w:tr>
    </w:tbl>
    <w:p w14:paraId="2954E2FC" w14:textId="77777777" w:rsidR="00634EAB" w:rsidRDefault="00634EAB" w:rsidP="00634EAB">
      <w:pPr>
        <w:autoSpaceDE w:val="0"/>
        <w:autoSpaceDN w:val="0"/>
        <w:adjustRightInd w:val="0"/>
        <w:spacing w:after="0" w:line="240" w:lineRule="auto"/>
      </w:pPr>
    </w:p>
    <w:p w14:paraId="3894A853" w14:textId="77777777" w:rsidR="00634EAB" w:rsidRDefault="00634EAB" w:rsidP="00634EAB">
      <w:pPr>
        <w:spacing w:after="0" w:line="240" w:lineRule="auto"/>
        <w:rPr>
          <w:rFonts w:cs="Tahoma"/>
          <w:b/>
          <w:color w:val="0A0A0A"/>
          <w:lang w:val="en" w:eastAsia="en-GB"/>
        </w:rPr>
      </w:pPr>
      <w:r>
        <w:rPr>
          <w:rFonts w:cs="Tahoma"/>
          <w:b/>
          <w:color w:val="0A0A0A"/>
          <w:lang w:val="en" w:eastAsia="en-GB"/>
        </w:rPr>
        <w:br w:type="page"/>
      </w:r>
    </w:p>
    <w:p w14:paraId="3A0A5CA2" w14:textId="77777777" w:rsidR="00634EAB" w:rsidRDefault="00634EAB" w:rsidP="00634EAB">
      <w:pPr>
        <w:spacing w:after="0" w:line="240" w:lineRule="auto"/>
        <w:rPr>
          <w:rFonts w:cs="Tahoma"/>
          <w:b/>
          <w:color w:val="0A0A0A"/>
          <w:lang w:val="en" w:eastAsia="en-GB"/>
        </w:rPr>
      </w:pPr>
      <w:r>
        <w:rPr>
          <w:rFonts w:cs="Tahoma"/>
          <w:b/>
          <w:color w:val="0A0A0A"/>
          <w:lang w:val="en" w:eastAsia="en-GB"/>
        </w:rPr>
        <w:lastRenderedPageBreak/>
        <w:t xml:space="preserve">6. </w:t>
      </w:r>
      <w:r w:rsidRPr="00D53C0C">
        <w:rPr>
          <w:rFonts w:cs="Tahoma"/>
          <w:b/>
          <w:color w:val="0A0A0A"/>
          <w:lang w:val="en" w:eastAsia="en-GB"/>
        </w:rPr>
        <w:t xml:space="preserve">Do you have a disability? </w:t>
      </w:r>
    </w:p>
    <w:tbl>
      <w:tblPr>
        <w:tblStyle w:val="TableGrid"/>
        <w:tblW w:w="0" w:type="auto"/>
        <w:tblLook w:val="04A0" w:firstRow="1" w:lastRow="0" w:firstColumn="1" w:lastColumn="0" w:noHBand="0" w:noVBand="1"/>
      </w:tblPr>
      <w:tblGrid>
        <w:gridCol w:w="9629"/>
      </w:tblGrid>
      <w:tr w:rsidR="00634EAB" w:rsidRPr="00256C2B" w14:paraId="54082FC7" w14:textId="77777777" w:rsidTr="00284B54">
        <w:tc>
          <w:tcPr>
            <w:tcW w:w="9855" w:type="dxa"/>
          </w:tcPr>
          <w:p w14:paraId="3A907C95" w14:textId="77777777" w:rsidR="00634EAB" w:rsidRPr="00256C2B" w:rsidRDefault="00634EAB" w:rsidP="00284B54">
            <w:pPr>
              <w:rPr>
                <w:lang w:val="en" w:eastAsia="en-GB"/>
              </w:rPr>
            </w:pPr>
            <w:r w:rsidRPr="00256C2B">
              <w:rPr>
                <w:lang w:val="en" w:eastAsia="en-GB"/>
              </w:rPr>
              <w:t xml:space="preserve">The </w:t>
            </w:r>
            <w:r w:rsidRPr="007D038B">
              <w:rPr>
                <w:i/>
                <w:lang w:val="en" w:eastAsia="en-GB"/>
              </w:rPr>
              <w:t>Equality Act 2010</w:t>
            </w:r>
            <w:r w:rsidRPr="00256C2B">
              <w:rPr>
                <w:lang w:val="en" w:eastAsia="en-GB"/>
              </w:rPr>
              <w:t xml:space="preserve"> defines a person as disabled if they have a physical or mental impairment, which has a substantial and long</w:t>
            </w:r>
            <w:r>
              <w:rPr>
                <w:lang w:val="en" w:eastAsia="en-GB"/>
              </w:rPr>
              <w:t xml:space="preserve"> </w:t>
            </w:r>
            <w:r w:rsidRPr="00256C2B">
              <w:rPr>
                <w:lang w:val="en" w:eastAsia="en-GB"/>
              </w:rPr>
              <w:t>term (</w:t>
            </w:r>
            <w:proofErr w:type="gramStart"/>
            <w:r w:rsidRPr="00256C2B">
              <w:rPr>
                <w:lang w:val="en" w:eastAsia="en-GB"/>
              </w:rPr>
              <w:t>i.e.</w:t>
            </w:r>
            <w:proofErr w:type="gramEnd"/>
            <w:r w:rsidRPr="00256C2B">
              <w:rPr>
                <w:lang w:val="en" w:eastAsia="en-GB"/>
              </w:rPr>
              <w:t xml:space="preserve"> has lasted or is expected to last at least 12 months) and adverse effect on the person’s ability to carry out normal day</w:t>
            </w:r>
            <w:r>
              <w:rPr>
                <w:lang w:val="en" w:eastAsia="en-GB"/>
              </w:rPr>
              <w:t xml:space="preserve"> </w:t>
            </w:r>
            <w:r w:rsidRPr="00256C2B">
              <w:rPr>
                <w:lang w:val="en" w:eastAsia="en-GB"/>
              </w:rPr>
              <w:t>to</w:t>
            </w:r>
            <w:r>
              <w:rPr>
                <w:lang w:val="en" w:eastAsia="en-GB"/>
              </w:rPr>
              <w:t xml:space="preserve"> </w:t>
            </w:r>
            <w:r w:rsidRPr="00256C2B">
              <w:rPr>
                <w:lang w:val="en" w:eastAsia="en-GB"/>
              </w:rPr>
              <w:t>day activities.</w:t>
            </w:r>
          </w:p>
        </w:tc>
      </w:tr>
    </w:tbl>
    <w:p w14:paraId="591DC25A" w14:textId="77777777" w:rsidR="00634EAB" w:rsidRDefault="00634EAB" w:rsidP="00634EAB">
      <w:pPr>
        <w:spacing w:after="0" w:line="240" w:lineRule="auto"/>
        <w:rPr>
          <w:rFonts w:cs="Tahoma"/>
          <w:color w:val="0A0A0A"/>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634EAB" w14:paraId="1BC83453" w14:textId="77777777" w:rsidTr="00284B54">
        <w:tc>
          <w:tcPr>
            <w:tcW w:w="3209" w:type="dxa"/>
          </w:tcPr>
          <w:p w14:paraId="65B5E776" w14:textId="10C61CEB" w:rsidR="00634EAB" w:rsidRDefault="00921335" w:rsidP="00284B54">
            <w:pPr>
              <w:rPr>
                <w:rFonts w:cs="Tahoma"/>
                <w:color w:val="0A0A0A"/>
                <w:lang w:val="en" w:eastAsia="en-GB"/>
              </w:rPr>
            </w:pPr>
            <w:r>
              <w:rPr>
                <w:rFonts w:ascii="MS Gothic" w:eastAsia="MS Gothic" w:hAnsi="MS Gothic" w:cs="Wingdings-Regular" w:hint="eastAsia"/>
                <w:color w:val="auto"/>
                <w:lang w:eastAsia="en-GB"/>
              </w:rPr>
              <w:t>☐</w:t>
            </w:r>
            <w:r w:rsidR="00634EAB">
              <w:rPr>
                <w:rFonts w:cs="Tahoma"/>
                <w:color w:val="0A0A0A"/>
                <w:lang w:val="en"/>
              </w:rPr>
              <w:t>Yes</w:t>
            </w:r>
          </w:p>
        </w:tc>
        <w:tc>
          <w:tcPr>
            <w:tcW w:w="3210" w:type="dxa"/>
          </w:tcPr>
          <w:p w14:paraId="0E7D81DF" w14:textId="22D8FA0E" w:rsidR="00634EAB" w:rsidRDefault="00921335" w:rsidP="00284B54">
            <w:pPr>
              <w:rPr>
                <w:rFonts w:cs="Tahoma"/>
                <w:color w:val="0A0A0A"/>
                <w:lang w:val="en"/>
              </w:rPr>
            </w:pPr>
            <w:r>
              <w:rPr>
                <w:rFonts w:ascii="MS Gothic" w:eastAsia="MS Gothic" w:hAnsi="MS Gothic" w:cs="Wingdings-Regular" w:hint="eastAsia"/>
                <w:color w:val="auto"/>
                <w:lang w:eastAsia="en-GB"/>
              </w:rPr>
              <w:t>☐</w:t>
            </w:r>
            <w:r w:rsidR="00634EAB">
              <w:rPr>
                <w:rFonts w:cs="Tahoma"/>
                <w:color w:val="0A0A0A"/>
                <w:lang w:val="en"/>
              </w:rPr>
              <w:t xml:space="preserve">No </w:t>
            </w:r>
          </w:p>
        </w:tc>
        <w:tc>
          <w:tcPr>
            <w:tcW w:w="3210" w:type="dxa"/>
          </w:tcPr>
          <w:p w14:paraId="7FEBFFFB" w14:textId="7CBCDBF2" w:rsidR="00634EAB" w:rsidRPr="001D5F8E" w:rsidRDefault="00921335" w:rsidP="00284B54">
            <w:r>
              <w:rPr>
                <w:rFonts w:ascii="MS Gothic" w:eastAsia="MS Gothic" w:hAnsi="MS Gothic" w:cs="Wingdings-Regular" w:hint="eastAsia"/>
                <w:color w:val="auto"/>
                <w:lang w:eastAsia="en-GB"/>
              </w:rPr>
              <w:t>☐</w:t>
            </w:r>
            <w:r w:rsidR="00634EAB">
              <w:rPr>
                <w:rFonts w:cs="Tahoma"/>
                <w:color w:val="0A0A0A"/>
                <w:lang w:val="en"/>
              </w:rPr>
              <w:t>Prefer not to say</w:t>
            </w:r>
          </w:p>
        </w:tc>
      </w:tr>
    </w:tbl>
    <w:p w14:paraId="6A8C1C9B" w14:textId="77777777" w:rsidR="00634EAB" w:rsidRDefault="00634EAB" w:rsidP="00634EAB">
      <w:pPr>
        <w:autoSpaceDE w:val="0"/>
        <w:autoSpaceDN w:val="0"/>
        <w:adjustRightInd w:val="0"/>
        <w:spacing w:after="0" w:line="240" w:lineRule="auto"/>
        <w:rPr>
          <w:rFonts w:cs="Tahoma"/>
          <w:color w:val="0A0A0A"/>
          <w:lang w:val="en" w:eastAsia="en-GB"/>
        </w:rPr>
      </w:pPr>
    </w:p>
    <w:p w14:paraId="1C3258F4" w14:textId="77777777" w:rsidR="00634EAB" w:rsidRDefault="00634EAB" w:rsidP="00634EAB">
      <w:pPr>
        <w:autoSpaceDE w:val="0"/>
        <w:autoSpaceDN w:val="0"/>
        <w:adjustRightInd w:val="0"/>
        <w:spacing w:after="0" w:line="240" w:lineRule="auto"/>
        <w:rPr>
          <w:rFonts w:cs="Tahoma"/>
          <w:b/>
          <w:bCs/>
          <w:color w:val="auto"/>
          <w:lang w:eastAsia="en-GB"/>
        </w:rPr>
      </w:pPr>
      <w:r>
        <w:rPr>
          <w:rFonts w:cs="Tahoma"/>
          <w:b/>
          <w:bCs/>
          <w:color w:val="auto"/>
          <w:lang w:eastAsia="en-GB"/>
        </w:rPr>
        <w:t>7. What is your ethnic group? (Please tick one)</w:t>
      </w:r>
    </w:p>
    <w:p w14:paraId="528B38AB" w14:textId="77777777" w:rsidR="00634EAB" w:rsidRDefault="00634EAB" w:rsidP="00634EAB">
      <w:pPr>
        <w:autoSpaceDE w:val="0"/>
        <w:autoSpaceDN w:val="0"/>
        <w:adjustRightInd w:val="0"/>
        <w:spacing w:after="0" w:line="240" w:lineRule="auto"/>
        <w:rPr>
          <w:rFonts w:cs="Tahoma"/>
          <w:color w:val="auto"/>
          <w:lang w:eastAsia="en-GB"/>
        </w:rPr>
      </w:pPr>
    </w:p>
    <w:p w14:paraId="4209E285" w14:textId="77777777" w:rsidR="00634EAB" w:rsidRPr="001D5F8E" w:rsidRDefault="00634EAB" w:rsidP="00634EAB">
      <w:pPr>
        <w:autoSpaceDE w:val="0"/>
        <w:autoSpaceDN w:val="0"/>
        <w:adjustRightInd w:val="0"/>
        <w:spacing w:after="0" w:line="240" w:lineRule="auto"/>
        <w:rPr>
          <w:rFonts w:cs="Tahoma"/>
          <w:b/>
          <w:bCs/>
          <w:color w:val="auto"/>
          <w:lang w:eastAsia="en-GB"/>
        </w:rPr>
      </w:pPr>
      <w:r w:rsidRPr="001D5F8E">
        <w:rPr>
          <w:rFonts w:cs="Tahoma"/>
          <w:b/>
          <w:bCs/>
          <w:color w:val="auto"/>
          <w:lang w:eastAsia="en-GB"/>
        </w:rPr>
        <w:t>White</w:t>
      </w:r>
    </w:p>
    <w:p w14:paraId="1043DF76" w14:textId="0F418C68"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English, Welsh, Scottish, Northern Irish or British</w:t>
      </w:r>
    </w:p>
    <w:p w14:paraId="16E06EDD" w14:textId="72C35D18"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Irish</w:t>
      </w:r>
    </w:p>
    <w:p w14:paraId="3B09C238" w14:textId="7C434A72"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Gypsy or Irish traveller</w:t>
      </w:r>
    </w:p>
    <w:p w14:paraId="006C9F16" w14:textId="6303B944"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sidRPr="0013000A">
        <w:t>Roma</w:t>
      </w:r>
      <w:r w:rsidR="00634EAB">
        <w:rPr>
          <w:rFonts w:ascii="Wingdings-Regular" w:eastAsia="Wingdings-Regular" w:cs="Wingdings-Regular"/>
          <w:color w:val="auto"/>
          <w:lang w:eastAsia="en-GB"/>
        </w:rPr>
        <w:t xml:space="preserve"> </w:t>
      </w:r>
    </w:p>
    <w:p w14:paraId="621FC012" w14:textId="6C1042EA"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Any other white background, please say what:</w:t>
      </w:r>
    </w:p>
    <w:tbl>
      <w:tblPr>
        <w:tblStyle w:val="TableGrid"/>
        <w:tblW w:w="0" w:type="auto"/>
        <w:tblLook w:val="04A0" w:firstRow="1" w:lastRow="0" w:firstColumn="1" w:lastColumn="0" w:noHBand="0" w:noVBand="1"/>
      </w:tblPr>
      <w:tblGrid>
        <w:gridCol w:w="9629"/>
      </w:tblGrid>
      <w:tr w:rsidR="00634EAB" w14:paraId="11CF8DD2" w14:textId="77777777" w:rsidTr="00284B54">
        <w:tc>
          <w:tcPr>
            <w:tcW w:w="9629" w:type="dxa"/>
          </w:tcPr>
          <w:p w14:paraId="77184B67" w14:textId="14C64724" w:rsidR="00634EAB" w:rsidRDefault="00634EAB" w:rsidP="00284B54">
            <w:pPr>
              <w:autoSpaceDE w:val="0"/>
              <w:autoSpaceDN w:val="0"/>
              <w:adjustRightInd w:val="0"/>
              <w:spacing w:after="0" w:line="240" w:lineRule="auto"/>
              <w:rPr>
                <w:rFonts w:cs="Tahoma"/>
                <w:color w:val="auto"/>
                <w:lang w:eastAsia="en-GB"/>
              </w:rPr>
            </w:pPr>
          </w:p>
          <w:p w14:paraId="7A11A40D" w14:textId="77777777" w:rsidR="00634EAB" w:rsidRDefault="00634EAB" w:rsidP="00284B54">
            <w:pPr>
              <w:autoSpaceDE w:val="0"/>
              <w:autoSpaceDN w:val="0"/>
              <w:adjustRightInd w:val="0"/>
              <w:spacing w:after="0" w:line="240" w:lineRule="auto"/>
              <w:rPr>
                <w:rFonts w:cs="Tahoma"/>
                <w:color w:val="auto"/>
                <w:lang w:eastAsia="en-GB"/>
              </w:rPr>
            </w:pPr>
          </w:p>
        </w:tc>
      </w:tr>
    </w:tbl>
    <w:p w14:paraId="628077F2" w14:textId="77777777" w:rsidR="00634EAB" w:rsidRDefault="00634EAB" w:rsidP="00634EAB">
      <w:pPr>
        <w:autoSpaceDE w:val="0"/>
        <w:autoSpaceDN w:val="0"/>
        <w:adjustRightInd w:val="0"/>
        <w:spacing w:after="0" w:line="240" w:lineRule="auto"/>
        <w:rPr>
          <w:rFonts w:cs="Tahoma"/>
          <w:color w:val="auto"/>
          <w:lang w:eastAsia="en-GB"/>
        </w:rPr>
      </w:pPr>
    </w:p>
    <w:p w14:paraId="758663C4" w14:textId="77777777" w:rsidR="00634EAB" w:rsidRPr="001D5F8E" w:rsidRDefault="00634EAB" w:rsidP="00634EAB">
      <w:pPr>
        <w:autoSpaceDE w:val="0"/>
        <w:autoSpaceDN w:val="0"/>
        <w:adjustRightInd w:val="0"/>
        <w:spacing w:after="0" w:line="240" w:lineRule="auto"/>
        <w:rPr>
          <w:rFonts w:cs="Tahoma"/>
          <w:b/>
          <w:bCs/>
          <w:color w:val="auto"/>
          <w:lang w:eastAsia="en-GB"/>
        </w:rPr>
      </w:pPr>
      <w:r w:rsidRPr="001D5F8E">
        <w:rPr>
          <w:rFonts w:cs="Tahoma"/>
          <w:b/>
          <w:bCs/>
          <w:color w:val="auto"/>
          <w:lang w:eastAsia="en-GB"/>
        </w:rPr>
        <w:t>Mixed or multiple ethnic groups</w:t>
      </w:r>
    </w:p>
    <w:p w14:paraId="3FAE42C6" w14:textId="4C059292"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White and black Caribbean</w:t>
      </w:r>
    </w:p>
    <w:p w14:paraId="1B44876A" w14:textId="75D8BD65"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White and black African</w:t>
      </w:r>
    </w:p>
    <w:p w14:paraId="2F0BAD0C" w14:textId="49C8ACE5"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White and Asian</w:t>
      </w:r>
    </w:p>
    <w:p w14:paraId="6DFA8065" w14:textId="78D85439"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Any other mixed or multiple ethnic background, please say what:</w:t>
      </w:r>
    </w:p>
    <w:tbl>
      <w:tblPr>
        <w:tblStyle w:val="TableGrid"/>
        <w:tblW w:w="0" w:type="auto"/>
        <w:tblLook w:val="04A0" w:firstRow="1" w:lastRow="0" w:firstColumn="1" w:lastColumn="0" w:noHBand="0" w:noVBand="1"/>
      </w:tblPr>
      <w:tblGrid>
        <w:gridCol w:w="9629"/>
      </w:tblGrid>
      <w:tr w:rsidR="00634EAB" w14:paraId="1F455296" w14:textId="77777777" w:rsidTr="00284B54">
        <w:tc>
          <w:tcPr>
            <w:tcW w:w="9629" w:type="dxa"/>
          </w:tcPr>
          <w:p w14:paraId="3E1C9721" w14:textId="15A3EBCD" w:rsidR="00634EAB" w:rsidRDefault="00634EAB" w:rsidP="00284B54">
            <w:pPr>
              <w:autoSpaceDE w:val="0"/>
              <w:autoSpaceDN w:val="0"/>
              <w:adjustRightInd w:val="0"/>
              <w:spacing w:after="0" w:line="240" w:lineRule="auto"/>
              <w:rPr>
                <w:rFonts w:cs="Tahoma"/>
                <w:color w:val="auto"/>
                <w:lang w:eastAsia="en-GB"/>
              </w:rPr>
            </w:pPr>
          </w:p>
          <w:p w14:paraId="69DEB151" w14:textId="77777777" w:rsidR="00634EAB" w:rsidRDefault="00634EAB" w:rsidP="00284B54">
            <w:pPr>
              <w:autoSpaceDE w:val="0"/>
              <w:autoSpaceDN w:val="0"/>
              <w:adjustRightInd w:val="0"/>
              <w:spacing w:after="0" w:line="240" w:lineRule="auto"/>
              <w:rPr>
                <w:rFonts w:cs="Tahoma"/>
                <w:color w:val="auto"/>
                <w:lang w:eastAsia="en-GB"/>
              </w:rPr>
            </w:pPr>
          </w:p>
        </w:tc>
      </w:tr>
    </w:tbl>
    <w:p w14:paraId="417DF605" w14:textId="77777777" w:rsidR="00634EAB" w:rsidRDefault="00634EAB" w:rsidP="00634EAB">
      <w:pPr>
        <w:autoSpaceDE w:val="0"/>
        <w:autoSpaceDN w:val="0"/>
        <w:adjustRightInd w:val="0"/>
        <w:spacing w:after="0" w:line="240" w:lineRule="auto"/>
        <w:rPr>
          <w:rFonts w:cs="Tahoma"/>
          <w:color w:val="auto"/>
          <w:lang w:eastAsia="en-GB"/>
        </w:rPr>
      </w:pPr>
    </w:p>
    <w:p w14:paraId="1853FA21" w14:textId="77777777" w:rsidR="00634EAB" w:rsidRPr="001D5F8E" w:rsidRDefault="00634EAB" w:rsidP="00634EAB">
      <w:pPr>
        <w:autoSpaceDE w:val="0"/>
        <w:autoSpaceDN w:val="0"/>
        <w:adjustRightInd w:val="0"/>
        <w:spacing w:after="0" w:line="240" w:lineRule="auto"/>
        <w:rPr>
          <w:rFonts w:cs="Tahoma"/>
          <w:b/>
          <w:bCs/>
          <w:color w:val="auto"/>
          <w:lang w:eastAsia="en-GB"/>
        </w:rPr>
      </w:pPr>
      <w:r w:rsidRPr="001D5F8E">
        <w:rPr>
          <w:rFonts w:cs="Tahoma"/>
          <w:b/>
          <w:bCs/>
          <w:color w:val="auto"/>
          <w:lang w:eastAsia="en-GB"/>
        </w:rPr>
        <w:t>Asian or Asian British</w:t>
      </w:r>
    </w:p>
    <w:p w14:paraId="68AF956F" w14:textId="5A7D522C"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 xml:space="preserve">Indian </w:t>
      </w:r>
      <w:r>
        <w:rPr>
          <w:rFonts w:ascii="MS Gothic" w:eastAsia="MS Gothic" w:hAnsi="MS Gothic" w:cs="Tahoma" w:hint="eastAsia"/>
          <w:color w:val="auto"/>
          <w:lang w:eastAsia="en-GB"/>
        </w:rPr>
        <w:t>☐</w:t>
      </w:r>
      <w:r w:rsidR="00634EAB">
        <w:rPr>
          <w:rFonts w:cs="Tahoma"/>
          <w:color w:val="auto"/>
          <w:lang w:eastAsia="en-GB"/>
        </w:rPr>
        <w:t xml:space="preserve">Pakistani </w:t>
      </w:r>
      <w:r>
        <w:rPr>
          <w:rFonts w:ascii="MS Gothic" w:eastAsia="MS Gothic" w:hAnsi="MS Gothic" w:cs="Tahoma" w:hint="eastAsia"/>
          <w:color w:val="auto"/>
          <w:lang w:eastAsia="en-GB"/>
        </w:rPr>
        <w:t>☐</w:t>
      </w:r>
      <w:r w:rsidR="00634EAB">
        <w:rPr>
          <w:rFonts w:cs="Tahoma"/>
          <w:color w:val="auto"/>
          <w:lang w:eastAsia="en-GB"/>
        </w:rPr>
        <w:t xml:space="preserve">Bangladeshi </w:t>
      </w:r>
      <w:r>
        <w:rPr>
          <w:rFonts w:ascii="MS Gothic" w:eastAsia="MS Gothic" w:hAnsi="MS Gothic" w:cs="Tahoma" w:hint="eastAsia"/>
          <w:color w:val="auto"/>
          <w:lang w:eastAsia="en-GB"/>
        </w:rPr>
        <w:t>☐</w:t>
      </w:r>
      <w:r w:rsidR="00634EAB">
        <w:rPr>
          <w:rFonts w:cs="Tahoma"/>
          <w:color w:val="auto"/>
          <w:lang w:eastAsia="en-GB"/>
        </w:rPr>
        <w:t>Chinese</w:t>
      </w:r>
    </w:p>
    <w:p w14:paraId="3304AE2C" w14:textId="77777777" w:rsidR="00634EAB" w:rsidRDefault="00634EAB" w:rsidP="00634EAB">
      <w:pPr>
        <w:rPr>
          <w:rFonts w:cs="Tahoma"/>
          <w:color w:val="auto"/>
          <w:lang w:eastAsia="en-GB"/>
        </w:rPr>
      </w:pPr>
      <w:r>
        <w:rPr>
          <w:rFonts w:cs="Tahoma"/>
          <w:color w:val="auto"/>
          <w:lang w:eastAsia="en-GB"/>
        </w:rPr>
        <w:t xml:space="preserve">Any other Asian background, please say what: </w:t>
      </w:r>
    </w:p>
    <w:tbl>
      <w:tblPr>
        <w:tblStyle w:val="TableGrid"/>
        <w:tblW w:w="0" w:type="auto"/>
        <w:tblLook w:val="04A0" w:firstRow="1" w:lastRow="0" w:firstColumn="1" w:lastColumn="0" w:noHBand="0" w:noVBand="1"/>
      </w:tblPr>
      <w:tblGrid>
        <w:gridCol w:w="9629"/>
      </w:tblGrid>
      <w:tr w:rsidR="00634EAB" w14:paraId="2941DA08" w14:textId="77777777" w:rsidTr="00284B54">
        <w:tc>
          <w:tcPr>
            <w:tcW w:w="9629" w:type="dxa"/>
          </w:tcPr>
          <w:p w14:paraId="559AA892" w14:textId="4C99C208" w:rsidR="00634EAB" w:rsidRDefault="00634EAB" w:rsidP="00284B54">
            <w:pPr>
              <w:rPr>
                <w:rFonts w:cs="Tahoma"/>
                <w:color w:val="auto"/>
                <w:lang w:eastAsia="en-GB"/>
              </w:rPr>
            </w:pPr>
          </w:p>
        </w:tc>
      </w:tr>
    </w:tbl>
    <w:p w14:paraId="5E563B72" w14:textId="77777777" w:rsidR="00634EAB" w:rsidRPr="001D5F8E" w:rsidRDefault="00634EAB" w:rsidP="00634EAB">
      <w:pPr>
        <w:pStyle w:val="Heading3"/>
        <w:rPr>
          <w:lang w:eastAsia="en-GB"/>
        </w:rPr>
      </w:pPr>
      <w:r w:rsidRPr="001D5F8E">
        <w:rPr>
          <w:lang w:eastAsia="en-GB"/>
        </w:rPr>
        <w:t>Black, African, Caribbean or black British</w:t>
      </w:r>
    </w:p>
    <w:p w14:paraId="2D337CC0" w14:textId="62BB1B62"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 xml:space="preserve">Caribbean </w:t>
      </w:r>
      <w:r>
        <w:rPr>
          <w:rFonts w:ascii="MS Gothic" w:eastAsia="MS Gothic" w:hAnsi="MS Gothic" w:cs="Tahoma" w:hint="eastAsia"/>
          <w:color w:val="auto"/>
          <w:lang w:eastAsia="en-GB"/>
        </w:rPr>
        <w:t>☐</w:t>
      </w:r>
      <w:r w:rsidR="00634EAB">
        <w:rPr>
          <w:rFonts w:cs="Tahoma"/>
          <w:color w:val="auto"/>
          <w:lang w:eastAsia="en-GB"/>
        </w:rPr>
        <w:t>African</w:t>
      </w:r>
    </w:p>
    <w:p w14:paraId="2B45A0A7" w14:textId="6FA182DA"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 xml:space="preserve">Any other black, African or Caribbean background, please say what </w:t>
      </w:r>
    </w:p>
    <w:p w14:paraId="2930E469" w14:textId="77777777" w:rsidR="00634EAB" w:rsidRDefault="00634EAB" w:rsidP="00634EAB">
      <w:pPr>
        <w:autoSpaceDE w:val="0"/>
        <w:autoSpaceDN w:val="0"/>
        <w:adjustRightInd w:val="0"/>
        <w:spacing w:after="0" w:line="240" w:lineRule="auto"/>
        <w:rPr>
          <w:rFonts w:cs="Tahoma"/>
          <w:color w:val="auto"/>
          <w:lang w:eastAsia="en-GB"/>
        </w:rPr>
      </w:pPr>
    </w:p>
    <w:p w14:paraId="53B75D65" w14:textId="77777777" w:rsidR="00634EAB" w:rsidRPr="001D5F8E" w:rsidRDefault="00634EAB" w:rsidP="00634EAB">
      <w:pPr>
        <w:autoSpaceDE w:val="0"/>
        <w:autoSpaceDN w:val="0"/>
        <w:adjustRightInd w:val="0"/>
        <w:spacing w:after="0" w:line="240" w:lineRule="auto"/>
        <w:rPr>
          <w:rFonts w:cs="Tahoma"/>
          <w:b/>
          <w:bCs/>
          <w:color w:val="auto"/>
          <w:lang w:eastAsia="en-GB"/>
        </w:rPr>
      </w:pPr>
      <w:r>
        <w:rPr>
          <w:rFonts w:cs="Tahoma"/>
          <w:b/>
          <w:bCs/>
          <w:color w:val="auto"/>
          <w:lang w:eastAsia="en-GB"/>
        </w:rPr>
        <w:t xml:space="preserve">Other </w:t>
      </w:r>
      <w:r w:rsidRPr="001D5F8E">
        <w:rPr>
          <w:rFonts w:cs="Tahoma"/>
          <w:b/>
          <w:bCs/>
          <w:color w:val="auto"/>
          <w:lang w:eastAsia="en-GB"/>
        </w:rPr>
        <w:t>ethnic group</w:t>
      </w:r>
    </w:p>
    <w:p w14:paraId="3C86CFF2" w14:textId="5218FF34"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Arab</w:t>
      </w:r>
    </w:p>
    <w:p w14:paraId="1AE4521B" w14:textId="0CA1EBAA" w:rsidR="00634EAB" w:rsidRDefault="00921335" w:rsidP="00634EAB">
      <w:pPr>
        <w:autoSpaceDE w:val="0"/>
        <w:autoSpaceDN w:val="0"/>
        <w:adjustRightInd w:val="0"/>
        <w:spacing w:after="0" w:line="240" w:lineRule="auto"/>
        <w:rPr>
          <w:rFonts w:cs="Tahoma"/>
          <w:color w:val="auto"/>
          <w:lang w:eastAsia="en-GB"/>
        </w:rPr>
      </w:pPr>
      <w:r>
        <w:rPr>
          <w:rFonts w:ascii="MS Gothic" w:eastAsia="MS Gothic" w:hAnsi="MS Gothic" w:cs="Wingdings-Regular" w:hint="eastAsia"/>
          <w:color w:val="auto"/>
          <w:lang w:eastAsia="en-GB"/>
        </w:rPr>
        <w:t>☐</w:t>
      </w:r>
      <w:r w:rsidR="00634EAB">
        <w:rPr>
          <w:rFonts w:cs="Tahoma"/>
          <w:color w:val="auto"/>
          <w:lang w:eastAsia="en-GB"/>
        </w:rPr>
        <w:t xml:space="preserve">Any other ethnic group, please say what: </w:t>
      </w:r>
    </w:p>
    <w:tbl>
      <w:tblPr>
        <w:tblStyle w:val="TableGrid"/>
        <w:tblW w:w="0" w:type="auto"/>
        <w:tblLook w:val="04A0" w:firstRow="1" w:lastRow="0" w:firstColumn="1" w:lastColumn="0" w:noHBand="0" w:noVBand="1"/>
      </w:tblPr>
      <w:tblGrid>
        <w:gridCol w:w="9629"/>
      </w:tblGrid>
      <w:tr w:rsidR="00634EAB" w14:paraId="48A8E371" w14:textId="77777777" w:rsidTr="00284B54">
        <w:tc>
          <w:tcPr>
            <w:tcW w:w="9629" w:type="dxa"/>
          </w:tcPr>
          <w:p w14:paraId="442E8B75" w14:textId="41B58D57" w:rsidR="00634EAB" w:rsidRDefault="00634EAB" w:rsidP="00284B54">
            <w:pPr>
              <w:rPr>
                <w:rFonts w:ascii="Wingdings-Regular" w:eastAsia="Wingdings-Regular" w:cs="Wingdings-Regular"/>
                <w:color w:val="auto"/>
                <w:lang w:eastAsia="en-GB"/>
              </w:rPr>
            </w:pPr>
          </w:p>
        </w:tc>
      </w:tr>
    </w:tbl>
    <w:p w14:paraId="122A3B06" w14:textId="1D8BC238" w:rsidR="00634EAB" w:rsidRDefault="00921335" w:rsidP="00634EAB">
      <w:pPr>
        <w:rPr>
          <w:b/>
        </w:rPr>
      </w:pPr>
      <w:r>
        <w:rPr>
          <w:rFonts w:ascii="MS Gothic" w:eastAsia="MS Gothic" w:hAnsi="MS Gothic" w:cs="Wingdings-Regular" w:hint="eastAsia"/>
          <w:color w:val="auto"/>
          <w:lang w:eastAsia="en-GB"/>
        </w:rPr>
        <w:t>☐</w:t>
      </w:r>
      <w:r w:rsidR="00634EAB">
        <w:rPr>
          <w:rFonts w:cs="Tahoma"/>
          <w:color w:val="auto"/>
          <w:lang w:eastAsia="en-GB"/>
        </w:rPr>
        <w:t xml:space="preserve">Prefer not to say </w:t>
      </w:r>
    </w:p>
    <w:p w14:paraId="792707E7" w14:textId="77777777" w:rsidR="00634EAB" w:rsidRDefault="00634EAB" w:rsidP="00634EAB">
      <w:pPr>
        <w:autoSpaceDE w:val="0"/>
        <w:autoSpaceDN w:val="0"/>
        <w:adjustRightInd w:val="0"/>
        <w:spacing w:after="0" w:line="240" w:lineRule="auto"/>
        <w:rPr>
          <w:rFonts w:cs="Tahoma"/>
          <w:b/>
          <w:bCs/>
          <w:color w:val="auto"/>
          <w:lang w:eastAsia="en-GB"/>
        </w:rPr>
      </w:pPr>
    </w:p>
    <w:p w14:paraId="696727FF" w14:textId="77777777" w:rsidR="00634EAB" w:rsidRDefault="00634EAB" w:rsidP="00634EAB">
      <w:pPr>
        <w:autoSpaceDE w:val="0"/>
        <w:autoSpaceDN w:val="0"/>
        <w:adjustRightInd w:val="0"/>
        <w:spacing w:after="0" w:line="240" w:lineRule="auto"/>
        <w:rPr>
          <w:rFonts w:cs="Tahoma"/>
          <w:b/>
          <w:bCs/>
          <w:color w:val="auto"/>
          <w:lang w:eastAsia="en-GB"/>
        </w:rPr>
      </w:pPr>
      <w:r>
        <w:rPr>
          <w:rFonts w:cs="Tahoma"/>
          <w:b/>
          <w:bCs/>
          <w:color w:val="auto"/>
          <w:lang w:eastAsia="en-GB"/>
        </w:rPr>
        <w:t>8. What is your religion?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07"/>
        <w:gridCol w:w="4307"/>
      </w:tblGrid>
      <w:tr w:rsidR="00634EAB" w:rsidRPr="00327D54" w14:paraId="24658E2B" w14:textId="77777777" w:rsidTr="00284B54">
        <w:trPr>
          <w:trHeight w:val="174"/>
        </w:trPr>
        <w:tc>
          <w:tcPr>
            <w:tcW w:w="4307" w:type="dxa"/>
          </w:tcPr>
          <w:p w14:paraId="35763DE0" w14:textId="478F8183"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No religion </w:t>
            </w:r>
          </w:p>
        </w:tc>
        <w:tc>
          <w:tcPr>
            <w:tcW w:w="4307" w:type="dxa"/>
          </w:tcPr>
          <w:p w14:paraId="143084DB" w14:textId="787435E4"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Buddhist </w:t>
            </w:r>
          </w:p>
        </w:tc>
      </w:tr>
      <w:tr w:rsidR="00634EAB" w:rsidRPr="00327D54" w14:paraId="2332F9F5" w14:textId="77777777" w:rsidTr="00284B54">
        <w:trPr>
          <w:trHeight w:val="174"/>
        </w:trPr>
        <w:tc>
          <w:tcPr>
            <w:tcW w:w="4307" w:type="dxa"/>
          </w:tcPr>
          <w:p w14:paraId="670BBB78" w14:textId="7D7CF493"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Baptist </w:t>
            </w:r>
          </w:p>
        </w:tc>
        <w:tc>
          <w:tcPr>
            <w:tcW w:w="4307" w:type="dxa"/>
          </w:tcPr>
          <w:p w14:paraId="4823DF1B" w14:textId="6B69E65A"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Brethren </w:t>
            </w:r>
          </w:p>
        </w:tc>
      </w:tr>
      <w:tr w:rsidR="00634EAB" w:rsidRPr="00327D54" w14:paraId="4E9BD5AE" w14:textId="77777777" w:rsidTr="00284B54">
        <w:trPr>
          <w:trHeight w:val="174"/>
        </w:trPr>
        <w:tc>
          <w:tcPr>
            <w:tcW w:w="4307" w:type="dxa"/>
          </w:tcPr>
          <w:p w14:paraId="75ABFC19" w14:textId="016F9D94"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Catholic </w:t>
            </w:r>
          </w:p>
        </w:tc>
        <w:tc>
          <w:tcPr>
            <w:tcW w:w="4307" w:type="dxa"/>
          </w:tcPr>
          <w:p w14:paraId="61F351F4" w14:textId="3F47C7ED"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Church of England </w:t>
            </w:r>
          </w:p>
        </w:tc>
      </w:tr>
      <w:tr w:rsidR="00634EAB" w:rsidRPr="00327D54" w14:paraId="2ECA0423" w14:textId="77777777" w:rsidTr="00284B54">
        <w:trPr>
          <w:trHeight w:val="174"/>
        </w:trPr>
        <w:tc>
          <w:tcPr>
            <w:tcW w:w="4307" w:type="dxa"/>
          </w:tcPr>
          <w:p w14:paraId="4B615E75" w14:textId="534BE0C7"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Church of Ireland </w:t>
            </w:r>
          </w:p>
        </w:tc>
        <w:tc>
          <w:tcPr>
            <w:tcW w:w="4307" w:type="dxa"/>
          </w:tcPr>
          <w:p w14:paraId="71719E12" w14:textId="00907EC5"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Church of Scotland </w:t>
            </w:r>
          </w:p>
        </w:tc>
      </w:tr>
      <w:tr w:rsidR="00634EAB" w:rsidRPr="00327D54" w14:paraId="6513FF8C" w14:textId="77777777" w:rsidTr="00284B54">
        <w:trPr>
          <w:trHeight w:val="174"/>
        </w:trPr>
        <w:tc>
          <w:tcPr>
            <w:tcW w:w="4307" w:type="dxa"/>
          </w:tcPr>
          <w:p w14:paraId="170D8643" w14:textId="0FFF9195"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Free Presbyterian </w:t>
            </w:r>
          </w:p>
        </w:tc>
        <w:tc>
          <w:tcPr>
            <w:tcW w:w="4307" w:type="dxa"/>
          </w:tcPr>
          <w:p w14:paraId="7CE4801E" w14:textId="734733A2"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Methodist </w:t>
            </w:r>
          </w:p>
        </w:tc>
      </w:tr>
      <w:tr w:rsidR="00634EAB" w:rsidRPr="00327D54" w14:paraId="6B5BD237" w14:textId="77777777" w:rsidTr="00284B54">
        <w:trPr>
          <w:trHeight w:val="174"/>
        </w:trPr>
        <w:tc>
          <w:tcPr>
            <w:tcW w:w="4307" w:type="dxa"/>
          </w:tcPr>
          <w:p w14:paraId="4B3F996A" w14:textId="53675DE1"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Other </w:t>
            </w:r>
          </w:p>
        </w:tc>
        <w:tc>
          <w:tcPr>
            <w:tcW w:w="4307" w:type="dxa"/>
          </w:tcPr>
          <w:p w14:paraId="61ED6580" w14:textId="69621E42"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Presbyterian </w:t>
            </w:r>
          </w:p>
        </w:tc>
      </w:tr>
      <w:tr w:rsidR="00634EAB" w:rsidRPr="00327D54" w14:paraId="3576955C" w14:textId="77777777" w:rsidTr="00284B54">
        <w:trPr>
          <w:trHeight w:val="174"/>
        </w:trPr>
        <w:tc>
          <w:tcPr>
            <w:tcW w:w="4307" w:type="dxa"/>
          </w:tcPr>
          <w:p w14:paraId="3C9C6557" w14:textId="437468EA"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Protestant </w:t>
            </w:r>
          </w:p>
        </w:tc>
        <w:tc>
          <w:tcPr>
            <w:tcW w:w="4307" w:type="dxa"/>
          </w:tcPr>
          <w:p w14:paraId="56E8A108" w14:textId="6773430C"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Christian – Pentecostal </w:t>
            </w:r>
          </w:p>
        </w:tc>
      </w:tr>
      <w:tr w:rsidR="00634EAB" w:rsidRPr="00327D54" w14:paraId="78BCB3C2" w14:textId="77777777" w:rsidTr="00284B54">
        <w:trPr>
          <w:trHeight w:val="174"/>
        </w:trPr>
        <w:tc>
          <w:tcPr>
            <w:tcW w:w="4307" w:type="dxa"/>
          </w:tcPr>
          <w:p w14:paraId="214CC204" w14:textId="774760C6"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Hindu </w:t>
            </w:r>
          </w:p>
        </w:tc>
        <w:tc>
          <w:tcPr>
            <w:tcW w:w="4307" w:type="dxa"/>
          </w:tcPr>
          <w:p w14:paraId="18BBD3E5" w14:textId="77188C23"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Jewish </w:t>
            </w:r>
          </w:p>
        </w:tc>
      </w:tr>
      <w:tr w:rsidR="00634EAB" w:rsidRPr="00327D54" w14:paraId="7E22C3A7" w14:textId="77777777" w:rsidTr="00284B54">
        <w:trPr>
          <w:trHeight w:val="174"/>
        </w:trPr>
        <w:tc>
          <w:tcPr>
            <w:tcW w:w="4307" w:type="dxa"/>
          </w:tcPr>
          <w:p w14:paraId="7A4902D3" w14:textId="4CAB945A" w:rsidR="00634EAB" w:rsidRPr="00327D54" w:rsidRDefault="00921335"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Muslim </w:t>
            </w:r>
          </w:p>
        </w:tc>
        <w:tc>
          <w:tcPr>
            <w:tcW w:w="4307" w:type="dxa"/>
          </w:tcPr>
          <w:p w14:paraId="5DFE417A" w14:textId="6557C65B" w:rsidR="00634EAB" w:rsidRPr="00327D54" w:rsidRDefault="00142C88" w:rsidP="00284B54">
            <w:pPr>
              <w:rPr>
                <w:rFonts w:eastAsia="Wingdings-Regular"/>
                <w:lang w:eastAsia="en-GB"/>
              </w:rPr>
            </w:pPr>
            <w:r>
              <w:rPr>
                <w:rFonts w:ascii="MS Gothic" w:eastAsia="MS Gothic" w:hAnsi="MS Gothic" w:cs="Wingdings-Regular" w:hint="eastAsia"/>
                <w:color w:val="auto"/>
                <w:lang w:eastAsia="en-GB"/>
              </w:rPr>
              <w:t>☐</w:t>
            </w:r>
            <w:r w:rsidR="00634EAB" w:rsidRPr="00327D54">
              <w:rPr>
                <w:rFonts w:eastAsia="Wingdings-Regular"/>
                <w:lang w:eastAsia="en-GB"/>
              </w:rPr>
              <w:t xml:space="preserve">Sikh </w:t>
            </w:r>
          </w:p>
        </w:tc>
      </w:tr>
      <w:tr w:rsidR="00634EAB" w:rsidRPr="00327D54" w14:paraId="32E68B4F" w14:textId="77777777" w:rsidTr="00284B54">
        <w:trPr>
          <w:trHeight w:val="174"/>
        </w:trPr>
        <w:tc>
          <w:tcPr>
            <w:tcW w:w="4307" w:type="dxa"/>
          </w:tcPr>
          <w:p w14:paraId="16B8D1CF" w14:textId="1D1D9473" w:rsidR="00634EAB" w:rsidRDefault="00921335" w:rsidP="00284B54">
            <w:pPr>
              <w:rPr>
                <w:rFonts w:eastAsia="Wingdings-Regular"/>
                <w:lang w:eastAsia="en-GB"/>
              </w:rPr>
            </w:pPr>
            <w:r>
              <w:rPr>
                <w:rFonts w:ascii="MS Gothic" w:eastAsia="MS Gothic" w:hAnsi="MS Gothic" w:hint="eastAsia"/>
                <w:lang w:eastAsia="en-GB"/>
              </w:rPr>
              <w:t>☐</w:t>
            </w:r>
            <w:r w:rsidR="00634EAB">
              <w:rPr>
                <w:rFonts w:eastAsia="Wingdings-Regular"/>
                <w:lang w:eastAsia="en-GB"/>
              </w:rPr>
              <w:t xml:space="preserve">Other (please say what): </w:t>
            </w:r>
          </w:p>
        </w:tc>
        <w:tc>
          <w:tcPr>
            <w:tcW w:w="4307" w:type="dxa"/>
          </w:tcPr>
          <w:p w14:paraId="4B55BAA8" w14:textId="587F4AE2" w:rsidR="00634EAB" w:rsidRDefault="00142C88" w:rsidP="00284B54">
            <w:pPr>
              <w:rPr>
                <w:rFonts w:ascii="Wingdings-Regular" w:eastAsia="Wingdings-Regular" w:cs="Wingdings-Regular"/>
                <w:color w:val="auto"/>
                <w:lang w:eastAsia="en-GB"/>
              </w:rPr>
            </w:pPr>
            <w:r>
              <w:rPr>
                <w:rFonts w:ascii="MS Gothic" w:eastAsia="MS Gothic" w:hAnsi="MS Gothic" w:cs="Wingdings-Regular" w:hint="eastAsia"/>
                <w:color w:val="auto"/>
                <w:lang w:eastAsia="en-GB"/>
              </w:rPr>
              <w:t>☐</w:t>
            </w:r>
            <w:r w:rsidR="00634EAB" w:rsidRPr="00327D54">
              <w:t>Prefer not to say</w:t>
            </w:r>
          </w:p>
        </w:tc>
      </w:tr>
    </w:tbl>
    <w:tbl>
      <w:tblPr>
        <w:tblStyle w:val="TableGrid"/>
        <w:tblW w:w="0" w:type="auto"/>
        <w:tblLook w:val="04A0" w:firstRow="1" w:lastRow="0" w:firstColumn="1" w:lastColumn="0" w:noHBand="0" w:noVBand="1"/>
      </w:tblPr>
      <w:tblGrid>
        <w:gridCol w:w="9629"/>
      </w:tblGrid>
      <w:tr w:rsidR="00634EAB" w14:paraId="7D5758C0" w14:textId="77777777" w:rsidTr="00284B54">
        <w:tc>
          <w:tcPr>
            <w:tcW w:w="9629" w:type="dxa"/>
          </w:tcPr>
          <w:p w14:paraId="517B2C17" w14:textId="676847DE" w:rsidR="00634EAB" w:rsidRDefault="00634EAB" w:rsidP="00284B54">
            <w:pPr>
              <w:rPr>
                <w:rFonts w:ascii="Wingdings-Regular" w:eastAsia="Wingdings-Regular" w:cs="Wingdings-Regular"/>
                <w:color w:val="auto"/>
                <w:lang w:eastAsia="en-GB"/>
              </w:rPr>
            </w:pPr>
          </w:p>
        </w:tc>
      </w:tr>
    </w:tbl>
    <w:p w14:paraId="1AF4BB42" w14:textId="77777777" w:rsidR="00634EAB" w:rsidRDefault="00634EAB" w:rsidP="00634EAB">
      <w:pPr>
        <w:autoSpaceDE w:val="0"/>
        <w:autoSpaceDN w:val="0"/>
        <w:adjustRightInd w:val="0"/>
        <w:spacing w:after="0" w:line="240" w:lineRule="auto"/>
        <w:rPr>
          <w:rFonts w:cs="Tahoma"/>
          <w:b/>
          <w:bCs/>
          <w:color w:val="0A0A0A"/>
          <w:lang w:eastAsia="en-GB"/>
        </w:rPr>
      </w:pPr>
    </w:p>
    <w:p w14:paraId="39C0900B" w14:textId="77777777" w:rsidR="00634EAB" w:rsidRDefault="00634EAB" w:rsidP="00634EAB">
      <w:pPr>
        <w:autoSpaceDE w:val="0"/>
        <w:autoSpaceDN w:val="0"/>
        <w:adjustRightInd w:val="0"/>
        <w:spacing w:after="0" w:line="240" w:lineRule="auto"/>
        <w:rPr>
          <w:rFonts w:cs="Tahoma"/>
          <w:b/>
          <w:bCs/>
          <w:color w:val="0A0A0A"/>
          <w:lang w:eastAsia="en-GB"/>
        </w:rPr>
      </w:pPr>
      <w:r>
        <w:rPr>
          <w:rFonts w:cs="Tahoma"/>
          <w:b/>
          <w:bCs/>
          <w:color w:val="0A0A0A"/>
          <w:lang w:eastAsia="en-GB"/>
        </w:rPr>
        <w:t>9. Which of these options best describes your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59"/>
        <w:gridCol w:w="1702"/>
        <w:gridCol w:w="3113"/>
      </w:tblGrid>
      <w:tr w:rsidR="00634EAB" w14:paraId="176FB894" w14:textId="77777777" w:rsidTr="00284B54">
        <w:tc>
          <w:tcPr>
            <w:tcW w:w="1555" w:type="dxa"/>
          </w:tcPr>
          <w:p w14:paraId="2B62D143" w14:textId="1297DA4E" w:rsidR="00634EAB" w:rsidRDefault="00142C88" w:rsidP="00284B54">
            <w:pPr>
              <w:autoSpaceDE w:val="0"/>
              <w:autoSpaceDN w:val="0"/>
              <w:adjustRightInd w:val="0"/>
              <w:spacing w:after="0" w:line="240" w:lineRule="auto"/>
              <w:rPr>
                <w:rFonts w:cs="Tahoma"/>
                <w:lang w:eastAsia="en-GB"/>
              </w:rPr>
            </w:pPr>
            <w:r>
              <w:rPr>
                <w:rFonts w:ascii="MS Gothic" w:eastAsia="MS Gothic" w:hAnsi="MS Gothic" w:cs="Wingdings-Regular" w:hint="eastAsia"/>
                <w:lang w:eastAsia="en-GB"/>
              </w:rPr>
              <w:t>☐</w:t>
            </w:r>
            <w:r w:rsidR="00634EAB">
              <w:rPr>
                <w:rFonts w:ascii="Wingdings-Regular" w:eastAsia="Wingdings-Regular" w:cs="Wingdings-Regular"/>
                <w:lang w:eastAsia="en-GB"/>
              </w:rPr>
              <w:t xml:space="preserve"> </w:t>
            </w:r>
            <w:r w:rsidR="00634EAB">
              <w:rPr>
                <w:rFonts w:cs="Tahoma"/>
                <w:lang w:eastAsia="en-GB"/>
              </w:rPr>
              <w:t>Bisexual</w:t>
            </w:r>
          </w:p>
          <w:p w14:paraId="0902B3F6" w14:textId="77777777" w:rsidR="00634EAB" w:rsidRDefault="00634EAB" w:rsidP="00284B54">
            <w:pPr>
              <w:autoSpaceDE w:val="0"/>
              <w:autoSpaceDN w:val="0"/>
              <w:adjustRightInd w:val="0"/>
              <w:spacing w:after="0" w:line="240" w:lineRule="auto"/>
              <w:rPr>
                <w:rFonts w:cs="Tahoma"/>
                <w:b/>
                <w:bCs/>
                <w:color w:val="0A0A0A"/>
                <w:lang w:eastAsia="en-GB"/>
              </w:rPr>
            </w:pPr>
          </w:p>
        </w:tc>
        <w:tc>
          <w:tcPr>
            <w:tcW w:w="3259" w:type="dxa"/>
          </w:tcPr>
          <w:p w14:paraId="47BE95D2" w14:textId="634819E8" w:rsidR="00634EAB" w:rsidRDefault="00142C88" w:rsidP="00284B54">
            <w:pPr>
              <w:autoSpaceDE w:val="0"/>
              <w:autoSpaceDN w:val="0"/>
              <w:adjustRightInd w:val="0"/>
              <w:spacing w:after="0" w:line="240" w:lineRule="auto"/>
              <w:rPr>
                <w:rFonts w:cs="Tahoma"/>
                <w:lang w:eastAsia="en-GB"/>
              </w:rPr>
            </w:pPr>
            <w:r>
              <w:rPr>
                <w:rFonts w:ascii="MS Gothic" w:eastAsia="MS Gothic" w:hAnsi="MS Gothic" w:cs="Wingdings-Regular" w:hint="eastAsia"/>
                <w:lang w:eastAsia="en-GB"/>
              </w:rPr>
              <w:t>☐</w:t>
            </w:r>
            <w:r w:rsidR="00634EAB">
              <w:rPr>
                <w:rFonts w:cs="Tahoma"/>
                <w:lang w:eastAsia="en-GB"/>
              </w:rPr>
              <w:t>Heterosexual or straight</w:t>
            </w:r>
          </w:p>
          <w:p w14:paraId="75866EA1" w14:textId="77777777" w:rsidR="00634EAB" w:rsidRDefault="00634EAB" w:rsidP="00284B54">
            <w:pPr>
              <w:autoSpaceDE w:val="0"/>
              <w:autoSpaceDN w:val="0"/>
              <w:adjustRightInd w:val="0"/>
              <w:spacing w:after="0" w:line="240" w:lineRule="auto"/>
              <w:rPr>
                <w:rFonts w:cs="Tahoma"/>
                <w:b/>
                <w:bCs/>
                <w:color w:val="0A0A0A"/>
                <w:lang w:eastAsia="en-GB"/>
              </w:rPr>
            </w:pPr>
          </w:p>
        </w:tc>
        <w:tc>
          <w:tcPr>
            <w:tcW w:w="1702" w:type="dxa"/>
          </w:tcPr>
          <w:p w14:paraId="414F126C" w14:textId="054E0B77" w:rsidR="00634EAB" w:rsidRDefault="00142C88" w:rsidP="00284B54">
            <w:pPr>
              <w:autoSpaceDE w:val="0"/>
              <w:autoSpaceDN w:val="0"/>
              <w:adjustRightInd w:val="0"/>
              <w:spacing w:after="0" w:line="240" w:lineRule="auto"/>
              <w:rPr>
                <w:rFonts w:cs="Tahoma"/>
                <w:lang w:eastAsia="en-GB"/>
              </w:rPr>
            </w:pPr>
            <w:r>
              <w:rPr>
                <w:rFonts w:ascii="MS Gothic" w:eastAsia="MS Gothic" w:hAnsi="MS Gothic" w:cs="Wingdings-Regular" w:hint="eastAsia"/>
                <w:lang w:eastAsia="en-GB"/>
              </w:rPr>
              <w:t>☐</w:t>
            </w:r>
            <w:r w:rsidR="00634EAB">
              <w:rPr>
                <w:rFonts w:cs="Tahoma"/>
                <w:lang w:eastAsia="en-GB"/>
              </w:rPr>
              <w:t>Gay man</w:t>
            </w:r>
          </w:p>
          <w:p w14:paraId="11827D7F" w14:textId="77777777" w:rsidR="00634EAB" w:rsidRDefault="00634EAB" w:rsidP="00284B54">
            <w:pPr>
              <w:autoSpaceDE w:val="0"/>
              <w:autoSpaceDN w:val="0"/>
              <w:adjustRightInd w:val="0"/>
              <w:spacing w:after="0" w:line="240" w:lineRule="auto"/>
              <w:rPr>
                <w:rFonts w:cs="Tahoma"/>
                <w:b/>
                <w:bCs/>
                <w:color w:val="0A0A0A"/>
                <w:lang w:eastAsia="en-GB"/>
              </w:rPr>
            </w:pPr>
          </w:p>
        </w:tc>
        <w:tc>
          <w:tcPr>
            <w:tcW w:w="3113" w:type="dxa"/>
          </w:tcPr>
          <w:p w14:paraId="561536D2" w14:textId="0FF3A7A8" w:rsidR="00634EAB" w:rsidRDefault="00142C88" w:rsidP="00284B54">
            <w:pPr>
              <w:autoSpaceDE w:val="0"/>
              <w:autoSpaceDN w:val="0"/>
              <w:adjustRightInd w:val="0"/>
              <w:spacing w:after="0" w:line="240" w:lineRule="auto"/>
              <w:rPr>
                <w:rFonts w:cs="Tahoma"/>
                <w:lang w:eastAsia="en-GB"/>
              </w:rPr>
            </w:pPr>
            <w:r>
              <w:rPr>
                <w:rFonts w:ascii="MS Gothic" w:eastAsia="MS Gothic" w:hAnsi="MS Gothic" w:cs="Wingdings-Regular" w:hint="eastAsia"/>
                <w:lang w:eastAsia="en-GB"/>
              </w:rPr>
              <w:t>☐</w:t>
            </w:r>
            <w:r w:rsidR="00634EAB">
              <w:rPr>
                <w:rFonts w:cs="Tahoma"/>
                <w:lang w:eastAsia="en-GB"/>
              </w:rPr>
              <w:t>Gay woman/lesbian</w:t>
            </w:r>
          </w:p>
          <w:p w14:paraId="06E4ED49" w14:textId="77777777" w:rsidR="00634EAB" w:rsidRDefault="00634EAB" w:rsidP="00284B54">
            <w:pPr>
              <w:autoSpaceDE w:val="0"/>
              <w:autoSpaceDN w:val="0"/>
              <w:adjustRightInd w:val="0"/>
              <w:spacing w:after="0" w:line="240" w:lineRule="auto"/>
              <w:rPr>
                <w:rFonts w:cs="Tahoma"/>
                <w:b/>
                <w:bCs/>
                <w:color w:val="0A0A0A"/>
                <w:lang w:eastAsia="en-GB"/>
              </w:rPr>
            </w:pPr>
          </w:p>
        </w:tc>
      </w:tr>
    </w:tbl>
    <w:p w14:paraId="3408BBF1" w14:textId="7D53C767" w:rsidR="00634EAB" w:rsidRDefault="00142C88" w:rsidP="00634EAB">
      <w:pPr>
        <w:autoSpaceDE w:val="0"/>
        <w:autoSpaceDN w:val="0"/>
        <w:adjustRightInd w:val="0"/>
        <w:spacing w:after="0" w:line="240" w:lineRule="auto"/>
        <w:rPr>
          <w:rFonts w:cs="Tahoma"/>
          <w:lang w:eastAsia="en-GB"/>
        </w:rPr>
      </w:pPr>
      <w:r>
        <w:rPr>
          <w:rFonts w:ascii="MS Gothic" w:eastAsia="MS Gothic" w:hAnsi="MS Gothic" w:cs="Wingdings-Regular" w:hint="eastAsia"/>
          <w:lang w:eastAsia="en-GB"/>
        </w:rPr>
        <w:t>☐</w:t>
      </w:r>
      <w:r w:rsidR="00634EAB">
        <w:rPr>
          <w:rFonts w:cs="Tahoma"/>
          <w:lang w:eastAsia="en-GB"/>
        </w:rPr>
        <w:t>Other (please say what):</w:t>
      </w:r>
    </w:p>
    <w:tbl>
      <w:tblPr>
        <w:tblStyle w:val="TableGrid"/>
        <w:tblW w:w="0" w:type="auto"/>
        <w:tblLook w:val="04A0" w:firstRow="1" w:lastRow="0" w:firstColumn="1" w:lastColumn="0" w:noHBand="0" w:noVBand="1"/>
      </w:tblPr>
      <w:tblGrid>
        <w:gridCol w:w="9629"/>
      </w:tblGrid>
      <w:tr w:rsidR="00634EAB" w14:paraId="37E6911D" w14:textId="77777777" w:rsidTr="00284B54">
        <w:tc>
          <w:tcPr>
            <w:tcW w:w="9629" w:type="dxa"/>
          </w:tcPr>
          <w:p w14:paraId="4E1ECC8A" w14:textId="669EAD69" w:rsidR="00634EAB" w:rsidRDefault="00634EAB" w:rsidP="00284B54">
            <w:pPr>
              <w:autoSpaceDE w:val="0"/>
              <w:autoSpaceDN w:val="0"/>
              <w:adjustRightInd w:val="0"/>
              <w:spacing w:after="0" w:line="240" w:lineRule="auto"/>
              <w:rPr>
                <w:rFonts w:cs="Tahoma"/>
                <w:lang w:eastAsia="en-GB"/>
              </w:rPr>
            </w:pPr>
          </w:p>
          <w:p w14:paraId="0E99A89F" w14:textId="77777777" w:rsidR="00634EAB" w:rsidRDefault="00634EAB" w:rsidP="00284B54">
            <w:pPr>
              <w:autoSpaceDE w:val="0"/>
              <w:autoSpaceDN w:val="0"/>
              <w:adjustRightInd w:val="0"/>
              <w:spacing w:after="0" w:line="240" w:lineRule="auto"/>
              <w:rPr>
                <w:rFonts w:cs="Tahoma"/>
                <w:lang w:eastAsia="en-GB"/>
              </w:rPr>
            </w:pPr>
          </w:p>
        </w:tc>
      </w:tr>
    </w:tbl>
    <w:p w14:paraId="2359C59A" w14:textId="77777777" w:rsidR="00634EAB" w:rsidRDefault="00634EAB" w:rsidP="00634EAB">
      <w:pPr>
        <w:autoSpaceDE w:val="0"/>
        <w:autoSpaceDN w:val="0"/>
        <w:adjustRightInd w:val="0"/>
        <w:spacing w:after="0" w:line="240" w:lineRule="auto"/>
        <w:rPr>
          <w:rFonts w:cs="Tahoma"/>
          <w:lang w:eastAsia="en-GB"/>
        </w:rPr>
      </w:pPr>
    </w:p>
    <w:p w14:paraId="45FE6409" w14:textId="03C708C0" w:rsidR="00634EAB" w:rsidRDefault="00142C88" w:rsidP="00634EAB">
      <w:pPr>
        <w:rPr>
          <w:rFonts w:cs="Tahoma"/>
          <w:lang w:eastAsia="en-GB"/>
        </w:rPr>
      </w:pPr>
      <w:r>
        <w:rPr>
          <w:rFonts w:ascii="MS Gothic" w:eastAsia="MS Gothic" w:hAnsi="MS Gothic" w:cs="Wingdings-Regular" w:hint="eastAsia"/>
          <w:lang w:eastAsia="en-GB"/>
        </w:rPr>
        <w:t>☐</w:t>
      </w:r>
      <w:r w:rsidR="00634EAB">
        <w:rPr>
          <w:rFonts w:cs="Tahoma"/>
          <w:lang w:eastAsia="en-GB"/>
        </w:rPr>
        <w:t>Prefer not to say</w:t>
      </w:r>
    </w:p>
    <w:p w14:paraId="4B5084DC" w14:textId="77777777" w:rsidR="00634EAB" w:rsidRDefault="00634EAB" w:rsidP="00634EAB">
      <w:pPr>
        <w:rPr>
          <w:b/>
        </w:rPr>
      </w:pPr>
      <w:r>
        <w:rPr>
          <w:b/>
        </w:rPr>
        <w:t xml:space="preserve">10. </w:t>
      </w:r>
      <w:r w:rsidRPr="00D53C0C">
        <w:rPr>
          <w:b/>
        </w:rPr>
        <w:t>What is your country of residence?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81"/>
        <w:gridCol w:w="3210"/>
      </w:tblGrid>
      <w:tr w:rsidR="00634EAB" w14:paraId="4E18835C" w14:textId="77777777" w:rsidTr="00284B54">
        <w:tc>
          <w:tcPr>
            <w:tcW w:w="1838" w:type="dxa"/>
          </w:tcPr>
          <w:p w14:paraId="6B05D2B9" w14:textId="1414599E" w:rsidR="00634EAB" w:rsidRPr="00327D54" w:rsidRDefault="00142C88"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England</w:t>
            </w:r>
          </w:p>
        </w:tc>
        <w:tc>
          <w:tcPr>
            <w:tcW w:w="4581" w:type="dxa"/>
          </w:tcPr>
          <w:p w14:paraId="5971E523" w14:textId="5BEEFB76" w:rsidR="00634EAB" w:rsidRPr="00327D54" w:rsidRDefault="00142C88"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 xml:space="preserve">Northern Ireland </w:t>
            </w:r>
          </w:p>
        </w:tc>
        <w:tc>
          <w:tcPr>
            <w:tcW w:w="3210" w:type="dxa"/>
          </w:tcPr>
          <w:p w14:paraId="01705925" w14:textId="251DD3DC" w:rsidR="00634EAB" w:rsidRDefault="00142C88" w:rsidP="00284B54">
            <w:pPr>
              <w:autoSpaceDE w:val="0"/>
              <w:autoSpaceDN w:val="0"/>
              <w:adjustRightInd w:val="0"/>
              <w:spacing w:after="0" w:line="240" w:lineRule="auto"/>
              <w:rPr>
                <w:b/>
              </w:rPr>
            </w:pPr>
            <w:r>
              <w:rPr>
                <w:rFonts w:ascii="MS Gothic" w:eastAsia="MS Gothic" w:hAnsi="MS Gothic" w:cs="Wingdings-Regular" w:hint="eastAsia"/>
                <w:color w:val="auto"/>
                <w:lang w:eastAsia="en-GB"/>
              </w:rPr>
              <w:t>☐</w:t>
            </w:r>
            <w:r w:rsidR="00634EAB">
              <w:rPr>
                <w:rFonts w:eastAsia="Wingdings-Regular" w:cs="Tahoma"/>
                <w:color w:val="auto"/>
                <w:lang w:eastAsia="en-GB"/>
              </w:rPr>
              <w:t>Scotland</w:t>
            </w:r>
          </w:p>
        </w:tc>
      </w:tr>
      <w:tr w:rsidR="00634EAB" w14:paraId="7003FB46" w14:textId="77777777" w:rsidTr="00284B54">
        <w:tc>
          <w:tcPr>
            <w:tcW w:w="1838" w:type="dxa"/>
          </w:tcPr>
          <w:p w14:paraId="1D742CA1" w14:textId="243E3A95" w:rsidR="00634EAB" w:rsidRPr="00327D54" w:rsidRDefault="00142C88"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Wales</w:t>
            </w:r>
          </w:p>
        </w:tc>
        <w:tc>
          <w:tcPr>
            <w:tcW w:w="4581" w:type="dxa"/>
          </w:tcPr>
          <w:p w14:paraId="0CE0D104" w14:textId="6232899A" w:rsidR="00634EAB" w:rsidRPr="00327D54" w:rsidRDefault="00142C88"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Other (European Economic Area)</w:t>
            </w:r>
          </w:p>
        </w:tc>
        <w:tc>
          <w:tcPr>
            <w:tcW w:w="3210" w:type="dxa"/>
          </w:tcPr>
          <w:p w14:paraId="27BF4698" w14:textId="7FFC4EBE" w:rsidR="00634EAB" w:rsidRDefault="00142C88" w:rsidP="00284B54">
            <w:pPr>
              <w:rPr>
                <w:b/>
              </w:rPr>
            </w:pPr>
            <w:r>
              <w:rPr>
                <w:rFonts w:ascii="MS Gothic" w:eastAsia="MS Gothic" w:hAnsi="MS Gothic" w:cs="Wingdings-Regular" w:hint="eastAsia"/>
                <w:color w:val="auto"/>
                <w:lang w:eastAsia="en-GB"/>
              </w:rPr>
              <w:t>☐</w:t>
            </w:r>
            <w:r w:rsidR="00634EAB">
              <w:rPr>
                <w:rFonts w:eastAsia="Wingdings-Regular" w:cs="Tahoma"/>
                <w:color w:val="auto"/>
                <w:lang w:eastAsia="en-GB"/>
              </w:rPr>
              <w:t>Other (rest of the world).</w:t>
            </w:r>
          </w:p>
        </w:tc>
      </w:tr>
    </w:tbl>
    <w:p w14:paraId="63CBA643" w14:textId="77777777" w:rsidR="00634EAB" w:rsidRPr="0037523D" w:rsidRDefault="00634EAB" w:rsidP="00634EAB">
      <w:r>
        <w:rPr>
          <w:rFonts w:eastAsia="Wingdings-Regular" w:cs="Tahoma"/>
        </w:rPr>
        <w:t>If you selected ‘other, EEA’ or ‘other, rest of the world’, p</w:t>
      </w:r>
      <w:r>
        <w:rPr>
          <w:rFonts w:eastAsia="Wingdings-Regular" w:cs="Tahoma"/>
          <w:color w:val="auto"/>
          <w:lang w:eastAsia="en-GB"/>
        </w:rPr>
        <w:t xml:space="preserve">lease say where: </w:t>
      </w:r>
    </w:p>
    <w:tbl>
      <w:tblPr>
        <w:tblStyle w:val="TableGrid"/>
        <w:tblW w:w="0" w:type="auto"/>
        <w:tblLook w:val="04A0" w:firstRow="1" w:lastRow="0" w:firstColumn="1" w:lastColumn="0" w:noHBand="0" w:noVBand="1"/>
      </w:tblPr>
      <w:tblGrid>
        <w:gridCol w:w="9629"/>
      </w:tblGrid>
      <w:tr w:rsidR="00634EAB" w14:paraId="74828AFE" w14:textId="77777777" w:rsidTr="00284B54">
        <w:tc>
          <w:tcPr>
            <w:tcW w:w="9855" w:type="dxa"/>
          </w:tcPr>
          <w:p w14:paraId="16B63FAB" w14:textId="6BBEC229" w:rsidR="00634EAB" w:rsidRDefault="00634EAB" w:rsidP="00284B54">
            <w:pPr>
              <w:spacing w:after="0" w:line="240" w:lineRule="auto"/>
            </w:pPr>
          </w:p>
          <w:p w14:paraId="68B5491A" w14:textId="77777777" w:rsidR="00634EAB" w:rsidRDefault="00634EAB" w:rsidP="00284B54">
            <w:pPr>
              <w:spacing w:after="0" w:line="240" w:lineRule="auto"/>
            </w:pPr>
          </w:p>
          <w:p w14:paraId="0DC25D50" w14:textId="77777777" w:rsidR="00634EAB" w:rsidRDefault="00634EAB" w:rsidP="00284B54">
            <w:pPr>
              <w:spacing w:after="0" w:line="240" w:lineRule="auto"/>
            </w:pPr>
          </w:p>
        </w:tc>
      </w:tr>
    </w:tbl>
    <w:p w14:paraId="4F1B36AC" w14:textId="77777777" w:rsidR="00634EAB" w:rsidRDefault="00634EAB" w:rsidP="00634EAB">
      <w:pPr>
        <w:pStyle w:val="Heading2"/>
      </w:pPr>
      <w:r>
        <w:lastRenderedPageBreak/>
        <w:t>Responding on behalf of an organisation</w:t>
      </w:r>
    </w:p>
    <w:p w14:paraId="620D3CD3" w14:textId="77777777" w:rsidR="00634EAB" w:rsidRDefault="00634EAB" w:rsidP="00634EAB">
      <w:pPr>
        <w:spacing w:after="0" w:line="240" w:lineRule="auto"/>
        <w:rPr>
          <w:rFonts w:cs="Tahoma"/>
          <w:b/>
          <w:color w:val="0A0A0A"/>
          <w:lang w:val="en" w:eastAsia="en-GB"/>
        </w:rPr>
      </w:pPr>
      <w:r>
        <w:rPr>
          <w:rFonts w:cs="Tahoma"/>
          <w:b/>
          <w:color w:val="0A0A0A"/>
          <w:lang w:val="en" w:eastAsia="en-GB"/>
        </w:rPr>
        <w:t xml:space="preserve">11. </w:t>
      </w:r>
      <w:r w:rsidRPr="00D53C0C">
        <w:rPr>
          <w:rFonts w:cs="Tahoma"/>
          <w:b/>
          <w:color w:val="0A0A0A"/>
          <w:lang w:val="en" w:eastAsia="en-GB"/>
        </w:rPr>
        <w:t xml:space="preserve">Which of these categories best describes your organisation? Please select only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2"/>
      </w:tblGrid>
      <w:tr w:rsidR="00634EAB" w14:paraId="1993072B" w14:textId="77777777" w:rsidTr="00284B54">
        <w:tc>
          <w:tcPr>
            <w:tcW w:w="4957" w:type="dxa"/>
          </w:tcPr>
          <w:p w14:paraId="30E34A69" w14:textId="47C56E57" w:rsidR="00634EAB" w:rsidRPr="00C425D7"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Patient organisation</w:t>
            </w:r>
          </w:p>
        </w:tc>
        <w:tc>
          <w:tcPr>
            <w:tcW w:w="4672" w:type="dxa"/>
          </w:tcPr>
          <w:p w14:paraId="1AAA7D3B" w14:textId="38D7120E" w:rsidR="00634EAB" w:rsidRDefault="007E083A" w:rsidP="00284B54">
            <w:pPr>
              <w:autoSpaceDE w:val="0"/>
              <w:autoSpaceDN w:val="0"/>
              <w:adjustRightInd w:val="0"/>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Doctor organisation</w:t>
            </w:r>
          </w:p>
        </w:tc>
      </w:tr>
      <w:tr w:rsidR="00634EAB" w:rsidRPr="003E7EDE" w14:paraId="69418B42" w14:textId="77777777" w:rsidTr="00284B54">
        <w:tc>
          <w:tcPr>
            <w:tcW w:w="4957" w:type="dxa"/>
          </w:tcPr>
          <w:p w14:paraId="3886C215" w14:textId="3358B922" w:rsidR="00634EAB" w:rsidRPr="003E7EDE" w:rsidRDefault="007E083A" w:rsidP="00284B54">
            <w:pPr>
              <w:spacing w:after="0" w:line="240" w:lineRule="auto"/>
              <w:rPr>
                <w:rFonts w:eastAsia="Wingdings-Regular" w:cs="Tahoma"/>
                <w:color w:val="auto"/>
                <w:lang w:eastAsia="en-GB"/>
              </w:rPr>
            </w:pPr>
            <w:r>
              <w:rPr>
                <w:rFonts w:ascii="MS Gothic" w:eastAsia="MS Gothic" w:hAnsi="MS Gothic" w:cs="Tahoma" w:hint="eastAsia"/>
                <w:color w:val="auto"/>
                <w:lang w:eastAsia="en-GB"/>
              </w:rPr>
              <w:t>☐</w:t>
            </w:r>
            <w:r w:rsidR="007E6887">
              <w:rPr>
                <w:rFonts w:eastAsia="Wingdings-Regular" w:cs="Tahoma"/>
                <w:color w:val="auto"/>
                <w:lang w:eastAsia="en-GB"/>
              </w:rPr>
              <w:t>Physician</w:t>
            </w:r>
            <w:r w:rsidR="00634EAB" w:rsidRPr="003E7EDE">
              <w:rPr>
                <w:rFonts w:eastAsia="Wingdings-Regular" w:cs="Tahoma"/>
                <w:color w:val="auto"/>
                <w:lang w:eastAsia="en-GB"/>
              </w:rPr>
              <w:t xml:space="preserve"> associate organisation </w:t>
            </w:r>
          </w:p>
        </w:tc>
        <w:tc>
          <w:tcPr>
            <w:tcW w:w="4672" w:type="dxa"/>
          </w:tcPr>
          <w:p w14:paraId="24D061B8" w14:textId="0A487410" w:rsidR="00634EAB" w:rsidRPr="003E7EDE"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Tahoma" w:hint="eastAsia"/>
                <w:color w:val="auto"/>
                <w:lang w:eastAsia="en-GB"/>
              </w:rPr>
              <w:t>☐</w:t>
            </w:r>
            <w:r w:rsidR="007E6887">
              <w:rPr>
                <w:rFonts w:eastAsia="Wingdings-Regular" w:cs="Tahoma"/>
                <w:color w:val="auto"/>
                <w:lang w:eastAsia="en-GB"/>
              </w:rPr>
              <w:t>Anaesthetist</w:t>
            </w:r>
            <w:r w:rsidR="00634EAB" w:rsidRPr="003E7EDE">
              <w:rPr>
                <w:rFonts w:eastAsia="Wingdings-Regular" w:cs="Tahoma"/>
                <w:color w:val="auto"/>
                <w:lang w:eastAsia="en-GB"/>
              </w:rPr>
              <w:t xml:space="preserve"> associate organisation </w:t>
            </w:r>
          </w:p>
        </w:tc>
      </w:tr>
      <w:tr w:rsidR="00634EAB" w14:paraId="053C11B3" w14:textId="77777777" w:rsidTr="00284B54">
        <w:tc>
          <w:tcPr>
            <w:tcW w:w="4957" w:type="dxa"/>
          </w:tcPr>
          <w:p w14:paraId="128864C1" w14:textId="25D42C0B" w:rsidR="00634EAB" w:rsidRDefault="007E083A" w:rsidP="00284B54">
            <w:pPr>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Independent healthcare provider</w:t>
            </w:r>
          </w:p>
        </w:tc>
        <w:tc>
          <w:tcPr>
            <w:tcW w:w="4672" w:type="dxa"/>
          </w:tcPr>
          <w:p w14:paraId="158E0AAB" w14:textId="7C3F1476" w:rsidR="00634EAB" w:rsidRDefault="007E083A" w:rsidP="00284B54">
            <w:pPr>
              <w:autoSpaceDE w:val="0"/>
              <w:autoSpaceDN w:val="0"/>
              <w:adjustRightInd w:val="0"/>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Medical school (undergraduate)</w:t>
            </w:r>
          </w:p>
        </w:tc>
      </w:tr>
      <w:tr w:rsidR="00634EAB" w14:paraId="361D0BA0" w14:textId="77777777" w:rsidTr="00284B54">
        <w:tc>
          <w:tcPr>
            <w:tcW w:w="4957" w:type="dxa"/>
          </w:tcPr>
          <w:p w14:paraId="6C7FAFC1" w14:textId="0D1DD40D" w:rsidR="00634EAB" w:rsidRDefault="007E083A" w:rsidP="00284B54">
            <w:pPr>
              <w:autoSpaceDE w:val="0"/>
              <w:autoSpaceDN w:val="0"/>
              <w:adjustRightInd w:val="0"/>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NHS / Health and social care organisation</w:t>
            </w:r>
          </w:p>
        </w:tc>
        <w:tc>
          <w:tcPr>
            <w:tcW w:w="4672" w:type="dxa"/>
          </w:tcPr>
          <w:p w14:paraId="79867400" w14:textId="29F324D0" w:rsidR="00634EAB" w:rsidRDefault="007E083A" w:rsidP="00284B54">
            <w:pPr>
              <w:autoSpaceDE w:val="0"/>
              <w:autoSpaceDN w:val="0"/>
              <w:adjustRightInd w:val="0"/>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Postgraduate body</w:t>
            </w:r>
          </w:p>
        </w:tc>
      </w:tr>
      <w:tr w:rsidR="00634EAB" w14:paraId="24633800" w14:textId="77777777" w:rsidTr="00284B54">
        <w:tc>
          <w:tcPr>
            <w:tcW w:w="4957" w:type="dxa"/>
          </w:tcPr>
          <w:p w14:paraId="1353DB0F" w14:textId="7ED8533E" w:rsidR="00634EAB" w:rsidRDefault="007E083A" w:rsidP="00284B54">
            <w:pPr>
              <w:autoSpaceDE w:val="0"/>
              <w:autoSpaceDN w:val="0"/>
              <w:adjustRightInd w:val="0"/>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Regulatory body</w:t>
            </w:r>
          </w:p>
        </w:tc>
        <w:tc>
          <w:tcPr>
            <w:tcW w:w="4672" w:type="dxa"/>
          </w:tcPr>
          <w:p w14:paraId="13079170" w14:textId="63969B7E" w:rsidR="00634EAB" w:rsidRDefault="007E083A" w:rsidP="00284B54">
            <w:pPr>
              <w:spacing w:after="0" w:line="240" w:lineRule="auto"/>
              <w:rPr>
                <w:rFonts w:cs="Tahoma"/>
                <w:b/>
                <w:color w:val="0A0A0A"/>
                <w:lang w:val="en"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Public body</w:t>
            </w:r>
          </w:p>
        </w:tc>
      </w:tr>
      <w:tr w:rsidR="00634EAB" w14:paraId="76E9E191" w14:textId="77777777" w:rsidTr="00284B54">
        <w:tc>
          <w:tcPr>
            <w:tcW w:w="4957" w:type="dxa"/>
          </w:tcPr>
          <w:p w14:paraId="0D682854" w14:textId="178ADC65" w:rsidR="00634EAB" w:rsidRDefault="007E083A" w:rsidP="00284B54">
            <w:pPr>
              <w:autoSpaceDE w:val="0"/>
              <w:autoSpaceDN w:val="0"/>
              <w:adjustRightInd w:val="0"/>
              <w:spacing w:after="0" w:line="240" w:lineRule="auto"/>
              <w:rPr>
                <w:rFonts w:ascii="Wingdings-Regular" w:eastAsia="Wingdings-Regular" w:hAnsi="Times New Roman" w:cs="Wingdings-Regular"/>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UK government department</w:t>
            </w:r>
          </w:p>
        </w:tc>
        <w:tc>
          <w:tcPr>
            <w:tcW w:w="4672" w:type="dxa"/>
          </w:tcPr>
          <w:p w14:paraId="6FDFC733" w14:textId="77777777" w:rsidR="00634EAB" w:rsidRDefault="00634EAB" w:rsidP="00284B54">
            <w:pPr>
              <w:spacing w:after="0" w:line="240" w:lineRule="auto"/>
              <w:rPr>
                <w:rFonts w:ascii="Wingdings-Regular" w:eastAsia="Wingdings-Regular" w:hAnsi="Times New Roman" w:cs="Wingdings-Regular"/>
                <w:color w:val="auto"/>
                <w:lang w:eastAsia="en-GB"/>
              </w:rPr>
            </w:pPr>
          </w:p>
        </w:tc>
      </w:tr>
    </w:tbl>
    <w:p w14:paraId="057F6334" w14:textId="72138FF7" w:rsidR="00634EAB" w:rsidRDefault="00634EAB" w:rsidP="00634EAB">
      <w:pPr>
        <w:rPr>
          <w:lang w:val="en" w:eastAsia="en-GB"/>
        </w:rPr>
      </w:pPr>
      <w:r>
        <w:rPr>
          <w:rFonts w:ascii="Wingdings-Regular" w:eastAsia="Wingdings-Regular" w:hAnsi="Times New Roman" w:cs="Wingdings-Regular" w:hint="eastAsia"/>
          <w:color w:val="auto"/>
          <w:lang w:eastAsia="en-GB"/>
        </w:rPr>
        <w:t xml:space="preserve"> </w:t>
      </w:r>
      <w:r>
        <w:rPr>
          <w:rFonts w:ascii="Wingdings-Regular" w:eastAsia="Wingdings-Regular" w:hAnsi="Times New Roman" w:cs="Wingdings-Regular"/>
          <w:color w:val="auto"/>
          <w:lang w:eastAsia="en-GB"/>
        </w:rPr>
        <w:t xml:space="preserve"> </w:t>
      </w:r>
      <w:r w:rsidR="007E083A">
        <w:rPr>
          <w:rFonts w:ascii="MS Gothic" w:eastAsia="MS Gothic" w:hAnsi="MS Gothic" w:cs="Wingdings-Regular" w:hint="eastAsia"/>
          <w:color w:val="auto"/>
          <w:lang w:eastAsia="en-GB"/>
        </w:rPr>
        <w:t>☐</w:t>
      </w:r>
      <w:r>
        <w:rPr>
          <w:rFonts w:eastAsia="Wingdings-Regular" w:cs="Tahoma"/>
          <w:color w:val="auto"/>
          <w:lang w:eastAsia="en-GB"/>
        </w:rPr>
        <w:t xml:space="preserve">Other (please say what): </w:t>
      </w:r>
    </w:p>
    <w:tbl>
      <w:tblPr>
        <w:tblStyle w:val="TableGrid"/>
        <w:tblW w:w="0" w:type="auto"/>
        <w:tblLook w:val="04A0" w:firstRow="1" w:lastRow="0" w:firstColumn="1" w:lastColumn="0" w:noHBand="0" w:noVBand="1"/>
      </w:tblPr>
      <w:tblGrid>
        <w:gridCol w:w="9629"/>
      </w:tblGrid>
      <w:tr w:rsidR="00634EAB" w14:paraId="34627F95" w14:textId="77777777" w:rsidTr="00284B54">
        <w:tc>
          <w:tcPr>
            <w:tcW w:w="9855" w:type="dxa"/>
          </w:tcPr>
          <w:p w14:paraId="030D682F" w14:textId="7C26CC2E" w:rsidR="00634EAB" w:rsidRDefault="00634EAB" w:rsidP="00284B54">
            <w:pPr>
              <w:rPr>
                <w:lang w:val="en" w:eastAsia="en-GB"/>
              </w:rPr>
            </w:pPr>
          </w:p>
        </w:tc>
      </w:tr>
    </w:tbl>
    <w:p w14:paraId="41C54CED" w14:textId="77777777" w:rsidR="00634EAB" w:rsidRDefault="00634EAB" w:rsidP="00634EAB">
      <w:pPr>
        <w:spacing w:after="0" w:line="240" w:lineRule="auto"/>
        <w:rPr>
          <w:rFonts w:cs="Tahoma"/>
          <w:color w:val="0A0A0A"/>
          <w:lang w:val="en" w:eastAsia="en-GB"/>
        </w:rPr>
      </w:pPr>
    </w:p>
    <w:p w14:paraId="4924E9C0" w14:textId="77777777" w:rsidR="00634EAB" w:rsidRDefault="00634EAB" w:rsidP="00634EAB">
      <w:pPr>
        <w:spacing w:after="0" w:line="240" w:lineRule="auto"/>
        <w:rPr>
          <w:rFonts w:cs="Tahoma"/>
          <w:color w:val="0A0A0A"/>
          <w:lang w:val="en" w:eastAsia="en-GB"/>
        </w:rPr>
      </w:pPr>
    </w:p>
    <w:p w14:paraId="282859CC" w14:textId="77777777" w:rsidR="00634EAB" w:rsidRPr="00D53C0C" w:rsidRDefault="00634EAB" w:rsidP="00634EAB">
      <w:pPr>
        <w:spacing w:after="0" w:line="240" w:lineRule="auto"/>
        <w:rPr>
          <w:rFonts w:cs="Tahoma"/>
          <w:b/>
          <w:color w:val="0A0A0A"/>
          <w:lang w:val="en" w:eastAsia="en-GB"/>
        </w:rPr>
      </w:pPr>
      <w:r>
        <w:rPr>
          <w:rFonts w:cs="Tahoma"/>
          <w:b/>
          <w:color w:val="0A0A0A"/>
          <w:lang w:val="en" w:eastAsia="en-GB"/>
        </w:rPr>
        <w:t xml:space="preserve">12. </w:t>
      </w:r>
      <w:r w:rsidRPr="00D53C0C">
        <w:rPr>
          <w:rFonts w:cs="Tahoma"/>
          <w:b/>
          <w:color w:val="0A0A0A"/>
          <w:lang w:val="en" w:eastAsia="en-GB"/>
        </w:rPr>
        <w:t xml:space="preserve">In which country does your organisation operate? Please select only one.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305"/>
        <w:gridCol w:w="1857"/>
        <w:gridCol w:w="1834"/>
        <w:gridCol w:w="1781"/>
      </w:tblGrid>
      <w:tr w:rsidR="00634EAB" w14:paraId="126E69DF" w14:textId="77777777" w:rsidTr="00284B54">
        <w:tc>
          <w:tcPr>
            <w:tcW w:w="1994" w:type="dxa"/>
          </w:tcPr>
          <w:p w14:paraId="2F09A1EE" w14:textId="0782649D" w:rsidR="00634EAB"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England</w:t>
            </w:r>
          </w:p>
          <w:p w14:paraId="1F95F17E" w14:textId="77777777" w:rsidR="00634EAB" w:rsidRDefault="00634EAB" w:rsidP="00284B54">
            <w:pPr>
              <w:autoSpaceDE w:val="0"/>
              <w:autoSpaceDN w:val="0"/>
              <w:adjustRightInd w:val="0"/>
              <w:spacing w:after="0" w:line="240" w:lineRule="auto"/>
              <w:rPr>
                <w:rFonts w:ascii="Wingdings-Regular" w:eastAsia="Wingdings-Regular" w:hAnsi="Times New Roman" w:cs="Wingdings-Regular"/>
                <w:color w:val="auto"/>
                <w:lang w:eastAsia="en-GB"/>
              </w:rPr>
            </w:pPr>
          </w:p>
        </w:tc>
        <w:tc>
          <w:tcPr>
            <w:tcW w:w="2305" w:type="dxa"/>
          </w:tcPr>
          <w:p w14:paraId="565E33EE" w14:textId="74755DCC" w:rsidR="00634EAB"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Northern Ireland</w:t>
            </w:r>
          </w:p>
          <w:p w14:paraId="76FB2466" w14:textId="77777777" w:rsidR="00634EAB" w:rsidRDefault="00634EAB" w:rsidP="00284B54">
            <w:pPr>
              <w:autoSpaceDE w:val="0"/>
              <w:autoSpaceDN w:val="0"/>
              <w:adjustRightInd w:val="0"/>
              <w:spacing w:after="0" w:line="240" w:lineRule="auto"/>
              <w:rPr>
                <w:rFonts w:ascii="Wingdings-Regular" w:eastAsia="Wingdings-Regular" w:hAnsi="Times New Roman" w:cs="Wingdings-Regular"/>
                <w:color w:val="auto"/>
                <w:lang w:eastAsia="en-GB"/>
              </w:rPr>
            </w:pPr>
          </w:p>
        </w:tc>
        <w:tc>
          <w:tcPr>
            <w:tcW w:w="1857" w:type="dxa"/>
          </w:tcPr>
          <w:p w14:paraId="1BB04F53" w14:textId="6A88D427" w:rsidR="00634EAB"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Scotland</w:t>
            </w:r>
          </w:p>
          <w:p w14:paraId="55DFD6C7" w14:textId="77777777" w:rsidR="00634EAB" w:rsidRDefault="00634EAB" w:rsidP="00284B54">
            <w:pPr>
              <w:autoSpaceDE w:val="0"/>
              <w:autoSpaceDN w:val="0"/>
              <w:adjustRightInd w:val="0"/>
              <w:spacing w:after="0" w:line="240" w:lineRule="auto"/>
              <w:rPr>
                <w:rFonts w:ascii="Wingdings-Regular" w:eastAsia="Wingdings-Regular" w:hAnsi="Times New Roman" w:cs="Wingdings-Regular"/>
                <w:color w:val="auto"/>
                <w:lang w:eastAsia="en-GB"/>
              </w:rPr>
            </w:pPr>
          </w:p>
        </w:tc>
        <w:tc>
          <w:tcPr>
            <w:tcW w:w="1834" w:type="dxa"/>
          </w:tcPr>
          <w:p w14:paraId="073F6FE8" w14:textId="46BF6864" w:rsidR="00634EAB"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Wales</w:t>
            </w:r>
          </w:p>
          <w:p w14:paraId="27B4C211" w14:textId="77777777" w:rsidR="00634EAB" w:rsidRDefault="00634EAB" w:rsidP="00284B54">
            <w:pPr>
              <w:autoSpaceDE w:val="0"/>
              <w:autoSpaceDN w:val="0"/>
              <w:adjustRightInd w:val="0"/>
              <w:spacing w:after="0" w:line="240" w:lineRule="auto"/>
              <w:rPr>
                <w:rFonts w:ascii="Wingdings-Regular" w:eastAsia="Wingdings-Regular" w:hAnsi="Times New Roman" w:cs="Wingdings-Regular"/>
                <w:color w:val="auto"/>
                <w:lang w:eastAsia="en-GB"/>
              </w:rPr>
            </w:pPr>
          </w:p>
        </w:tc>
        <w:tc>
          <w:tcPr>
            <w:tcW w:w="1781" w:type="dxa"/>
          </w:tcPr>
          <w:p w14:paraId="5C85D526" w14:textId="1BD995B5" w:rsidR="00634EAB" w:rsidRDefault="007E083A" w:rsidP="00284B54">
            <w:pPr>
              <w:autoSpaceDE w:val="0"/>
              <w:autoSpaceDN w:val="0"/>
              <w:adjustRightInd w:val="0"/>
              <w:spacing w:after="0" w:line="240" w:lineRule="auto"/>
              <w:rPr>
                <w:rFonts w:eastAsia="Wingdings-Regular" w:cs="Tahoma"/>
                <w:color w:val="auto"/>
                <w:lang w:eastAsia="en-GB"/>
              </w:rPr>
            </w:pPr>
            <w:r>
              <w:rPr>
                <w:rFonts w:ascii="MS Gothic" w:eastAsia="MS Gothic" w:hAnsi="MS Gothic" w:cs="Wingdings-Regular" w:hint="eastAsia"/>
                <w:color w:val="auto"/>
                <w:lang w:eastAsia="en-GB"/>
              </w:rPr>
              <w:t>☐</w:t>
            </w:r>
            <w:r w:rsidR="00634EAB">
              <w:rPr>
                <w:rFonts w:eastAsia="Wingdings-Regular" w:cs="Tahoma"/>
                <w:color w:val="auto"/>
                <w:lang w:eastAsia="en-GB"/>
              </w:rPr>
              <w:t>UK wide</w:t>
            </w:r>
          </w:p>
          <w:p w14:paraId="154EFDE1" w14:textId="77777777" w:rsidR="00634EAB" w:rsidRDefault="00634EAB" w:rsidP="00284B54">
            <w:pPr>
              <w:autoSpaceDE w:val="0"/>
              <w:autoSpaceDN w:val="0"/>
              <w:adjustRightInd w:val="0"/>
              <w:spacing w:after="0" w:line="240" w:lineRule="auto"/>
              <w:rPr>
                <w:rFonts w:ascii="Wingdings-Regular" w:eastAsia="Wingdings-Regular" w:hAnsi="Times New Roman" w:cs="Wingdings-Regular"/>
                <w:color w:val="auto"/>
                <w:lang w:eastAsia="en-GB"/>
              </w:rPr>
            </w:pPr>
          </w:p>
        </w:tc>
      </w:tr>
    </w:tbl>
    <w:p w14:paraId="30E04E47" w14:textId="363D3ACF" w:rsidR="00634EAB" w:rsidRDefault="007E083A" w:rsidP="00634EAB">
      <w:r>
        <w:rPr>
          <w:rFonts w:ascii="MS Gothic" w:eastAsia="MS Gothic" w:hAnsi="MS Gothic" w:cs="Wingdings-Regular" w:hint="eastAsia"/>
          <w:color w:val="auto"/>
          <w:lang w:eastAsia="en-GB"/>
        </w:rPr>
        <w:t>☐</w:t>
      </w:r>
      <w:r w:rsidR="00634EAB">
        <w:rPr>
          <w:rFonts w:eastAsia="Wingdings-Regular" w:cs="Tahoma"/>
          <w:color w:val="auto"/>
          <w:lang w:eastAsia="en-GB"/>
        </w:rPr>
        <w:t>Other (European Economic Area) (please say where)</w:t>
      </w:r>
    </w:p>
    <w:tbl>
      <w:tblPr>
        <w:tblStyle w:val="TableGrid"/>
        <w:tblW w:w="0" w:type="auto"/>
        <w:tblLook w:val="04A0" w:firstRow="1" w:lastRow="0" w:firstColumn="1" w:lastColumn="0" w:noHBand="0" w:noVBand="1"/>
      </w:tblPr>
      <w:tblGrid>
        <w:gridCol w:w="9629"/>
      </w:tblGrid>
      <w:tr w:rsidR="00634EAB" w14:paraId="1A9B6347" w14:textId="77777777" w:rsidTr="00284B54">
        <w:tc>
          <w:tcPr>
            <w:tcW w:w="9855" w:type="dxa"/>
          </w:tcPr>
          <w:p w14:paraId="2827D176" w14:textId="305A99D4" w:rsidR="00634EAB" w:rsidRDefault="00634EAB" w:rsidP="00284B54"/>
        </w:tc>
      </w:tr>
    </w:tbl>
    <w:p w14:paraId="563C523D" w14:textId="166A9E39" w:rsidR="00634EAB" w:rsidRPr="0037523D" w:rsidRDefault="007E083A" w:rsidP="00634EAB">
      <w:r>
        <w:rPr>
          <w:rFonts w:ascii="MS Gothic" w:eastAsia="MS Gothic" w:hAnsi="MS Gothic" w:cs="Wingdings-Regular" w:hint="eastAsia"/>
          <w:color w:val="auto"/>
          <w:lang w:eastAsia="en-GB"/>
        </w:rPr>
        <w:t>☐</w:t>
      </w:r>
      <w:r w:rsidR="00634EAB" w:rsidRPr="0037523D">
        <w:t xml:space="preserve">Other (rest of the world) (please say where) </w:t>
      </w:r>
    </w:p>
    <w:tbl>
      <w:tblPr>
        <w:tblStyle w:val="TableGrid"/>
        <w:tblW w:w="0" w:type="auto"/>
        <w:tblLook w:val="04A0" w:firstRow="1" w:lastRow="0" w:firstColumn="1" w:lastColumn="0" w:noHBand="0" w:noVBand="1"/>
      </w:tblPr>
      <w:tblGrid>
        <w:gridCol w:w="9629"/>
      </w:tblGrid>
      <w:tr w:rsidR="00634EAB" w14:paraId="2405DE42" w14:textId="77777777" w:rsidTr="00284B54">
        <w:tc>
          <w:tcPr>
            <w:tcW w:w="9855" w:type="dxa"/>
          </w:tcPr>
          <w:p w14:paraId="632BD7E2" w14:textId="1344AAC8" w:rsidR="00634EAB" w:rsidRDefault="00634EAB" w:rsidP="00284B54"/>
        </w:tc>
      </w:tr>
    </w:tbl>
    <w:p w14:paraId="102C45B3" w14:textId="77777777" w:rsidR="00634EAB" w:rsidRDefault="00634EAB" w:rsidP="00634EAB">
      <w:pPr>
        <w:pStyle w:val="GMCNormalBold"/>
        <w:jc w:val="center"/>
      </w:pPr>
    </w:p>
    <w:p w14:paraId="106B85C6" w14:textId="61BF48CF" w:rsidR="006A7F97" w:rsidRDefault="00634EAB" w:rsidP="00414F02">
      <w:pPr>
        <w:pStyle w:val="GMCNormalBold"/>
        <w:jc w:val="center"/>
      </w:pPr>
      <w:r w:rsidRPr="00084F5D">
        <w:t xml:space="preserve">Thank you for </w:t>
      </w:r>
      <w:r>
        <w:t>responding t</w:t>
      </w:r>
      <w:r w:rsidRPr="00084F5D">
        <w:t>o our consultation.</w:t>
      </w:r>
    </w:p>
    <w:sectPr w:rsidR="006A7F97" w:rsidSect="006443CA">
      <w:headerReference w:type="even" r:id="rId29"/>
      <w:headerReference w:type="default" r:id="rId30"/>
      <w:footerReference w:type="even" r:id="rId31"/>
      <w:footerReference w:type="default" r:id="rId32"/>
      <w:headerReference w:type="first" r:id="rId33"/>
      <w:footerReference w:type="first" r:id="rId34"/>
      <w:footnotePr>
        <w:numFmt w:val="chicago"/>
        <w:numRestart w:val="eachPage"/>
      </w:footnotePr>
      <w:endnotePr>
        <w:numFmt w:val="decimal"/>
      </w:endnotePr>
      <w:pgSz w:w="11907" w:h="16840" w:code="9"/>
      <w:pgMar w:top="709" w:right="1134" w:bottom="1418" w:left="1134" w:header="284"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7A2A" w14:textId="77777777" w:rsidR="00B03430" w:rsidRDefault="00B03430" w:rsidP="00280C24">
      <w:pPr>
        <w:pStyle w:val="GMCNumbertext"/>
        <w:numPr>
          <w:ilvl w:val="0"/>
          <w:numId w:val="0"/>
        </w:numPr>
      </w:pPr>
    </w:p>
  </w:endnote>
  <w:endnote w:type="continuationSeparator" w:id="0">
    <w:p w14:paraId="7D17302A" w14:textId="77777777" w:rsidR="00B03430" w:rsidRDefault="00B03430" w:rsidP="00280C24">
      <w:pPr>
        <w:pStyle w:val="GMCNumbertext"/>
        <w:numPr>
          <w:ilvl w:val="0"/>
          <w:numId w:val="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01A1" w14:textId="77777777" w:rsidR="009B7887" w:rsidRDefault="009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F5933" w14:textId="77777777" w:rsidR="009B7887" w:rsidRDefault="009B7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792A" w14:textId="77777777" w:rsidR="009B7887" w:rsidRDefault="00B353AB" w:rsidP="00534845">
    <w:pPr>
      <w:pStyle w:val="Footer"/>
      <w:tabs>
        <w:tab w:val="clear" w:pos="4320"/>
        <w:tab w:val="clear" w:pos="8640"/>
        <w:tab w:val="right" w:pos="8847"/>
      </w:tabs>
      <w:ind w:right="284"/>
      <w:jc w:val="right"/>
    </w:pPr>
    <w:r w:rsidRPr="00840EC6">
      <w:rPr>
        <w:noProof/>
        <w:lang w:eastAsia="en-GB"/>
      </w:rPr>
      <w:drawing>
        <wp:anchor distT="0" distB="0" distL="114300" distR="114300" simplePos="0" relativeHeight="251656704" behindDoc="0" locked="0" layoutInCell="1" allowOverlap="1" wp14:anchorId="65350350" wp14:editId="3DCCEF8D">
          <wp:simplePos x="0" y="0"/>
          <wp:positionH relativeFrom="page">
            <wp:posOffset>914400</wp:posOffset>
          </wp:positionH>
          <wp:positionV relativeFrom="page">
            <wp:posOffset>10001885</wp:posOffset>
          </wp:positionV>
          <wp:extent cx="903600" cy="122400"/>
          <wp:effectExtent l="0" t="0" r="0" b="0"/>
          <wp:wrapNone/>
          <wp:docPr id="4" name="Picture 3"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ww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D64">
      <w:rPr>
        <w:noProof/>
        <w:lang w:eastAsia="en-GB"/>
      </w:rPr>
      <mc:AlternateContent>
        <mc:Choice Requires="wps">
          <w:drawing>
            <wp:anchor distT="0" distB="0" distL="114300" distR="114300" simplePos="0" relativeHeight="251655680" behindDoc="0" locked="0" layoutInCell="1" allowOverlap="1" wp14:anchorId="7A0EC5BE" wp14:editId="23C4FBD7">
              <wp:simplePos x="0" y="0"/>
              <wp:positionH relativeFrom="page">
                <wp:posOffset>914400</wp:posOffset>
              </wp:positionH>
              <wp:positionV relativeFrom="page">
                <wp:posOffset>9843770</wp:posOffset>
              </wp:positionV>
              <wp:extent cx="5724000" cy="0"/>
              <wp:effectExtent l="0" t="0" r="10160"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line">
                        <a:avLst/>
                      </a:prstGeom>
                      <a:noFill/>
                      <a:ln w="12700">
                        <a:solidFill>
                          <a:srgbClr val="3E51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5"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3e5185" strokeweight="1pt" from="1in,775.1pt" to="522.7pt,775.1pt" w14:anchorId="3400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">
              <w10:wrap anchorx="page" anchory="page"/>
            </v:line>
          </w:pict>
        </mc:Fallback>
      </mc:AlternateContent>
    </w:r>
    <w:r w:rsidR="00534845">
      <w:fldChar w:fldCharType="begin"/>
    </w:r>
    <w:r w:rsidR="00534845">
      <w:instrText xml:space="preserve"> PAGE   \* MERGEFORMAT </w:instrText>
    </w:r>
    <w:r w:rsidR="00534845">
      <w:fldChar w:fldCharType="separate"/>
    </w:r>
    <w:r w:rsidR="00534845">
      <w:rPr>
        <w:noProof/>
      </w:rPr>
      <w:t>2</w:t>
    </w:r>
    <w:r w:rsidR="005348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3E75" w14:textId="77777777" w:rsidR="00382C43" w:rsidRDefault="00215800" w:rsidP="00B353AB">
    <w:pPr>
      <w:pStyle w:val="Footer"/>
      <w:jc w:val="right"/>
    </w:pPr>
    <w:r>
      <w:rPr>
        <w:noProof/>
        <w:lang w:eastAsia="en-GB"/>
      </w:rPr>
      <w:drawing>
        <wp:anchor distT="0" distB="0" distL="114300" distR="114300" simplePos="0" relativeHeight="251657728" behindDoc="1" locked="0" layoutInCell="1" allowOverlap="1" wp14:anchorId="13DC01B2" wp14:editId="7A39C77A">
          <wp:simplePos x="0" y="0"/>
          <wp:positionH relativeFrom="page">
            <wp:posOffset>0</wp:posOffset>
          </wp:positionH>
          <wp:positionV relativeFrom="page">
            <wp:posOffset>10031095</wp:posOffset>
          </wp:positionV>
          <wp:extent cx="7588800" cy="745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rapline_blue_eng.png"/>
                  <pic:cNvPicPr/>
                </pic:nvPicPr>
                <pic:blipFill>
                  <a:blip r:embed="rId1">
                    <a:extLst>
                      <a:ext uri="{28A0092B-C50C-407E-A947-70E740481C1C}">
                        <a14:useLocalDpi xmlns:a14="http://schemas.microsoft.com/office/drawing/2010/main" val="0"/>
                      </a:ext>
                    </a:extLst>
                  </a:blip>
                  <a:stretch>
                    <a:fillRect/>
                  </a:stretch>
                </pic:blipFill>
                <pic:spPr>
                  <a:xfrm>
                    <a:off x="0" y="0"/>
                    <a:ext cx="7588800" cy="745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142" w14:textId="77777777" w:rsidR="00B03430" w:rsidRDefault="00B03430" w:rsidP="00FB4E59">
      <w:pPr>
        <w:pStyle w:val="GMCNumbertext"/>
        <w:numPr>
          <w:ilvl w:val="0"/>
          <w:numId w:val="0"/>
        </w:numPr>
      </w:pPr>
    </w:p>
  </w:footnote>
  <w:footnote w:type="continuationSeparator" w:id="0">
    <w:p w14:paraId="4776BE3A" w14:textId="77777777" w:rsidR="00B03430" w:rsidRDefault="00B03430" w:rsidP="00FB4E59">
      <w:pPr>
        <w:pStyle w:val="GMCNumbertext"/>
        <w:numPr>
          <w:ilvl w:val="0"/>
          <w:numId w:val="0"/>
        </w:numPr>
      </w:pPr>
    </w:p>
  </w:footnote>
  <w:footnote w:type="continuationNotice" w:id="1">
    <w:p w14:paraId="2C39B53E" w14:textId="77777777" w:rsidR="00B03430" w:rsidRDefault="00B03430">
      <w:pPr>
        <w:spacing w:after="0" w:line="240" w:lineRule="auto"/>
      </w:pPr>
    </w:p>
  </w:footnote>
  <w:footnote w:id="2">
    <w:p w14:paraId="47F5E8BD" w14:textId="77777777" w:rsidR="005F70ED" w:rsidRDefault="005F70ED" w:rsidP="005F70ED">
      <w:pPr>
        <w:pStyle w:val="FootnoteText"/>
      </w:pPr>
      <w:r>
        <w:rPr>
          <w:rStyle w:val="FootnoteReference"/>
        </w:rPr>
        <w:footnoteRef/>
      </w:r>
      <w:r>
        <w:t xml:space="preserve"> </w:t>
      </w:r>
      <w:r w:rsidRPr="006E12E6">
        <w:t>https://gmc-mpts.smartconsultations.co.uk/</w:t>
      </w:r>
    </w:p>
  </w:footnote>
  <w:footnote w:id="3">
    <w:p w14:paraId="0DEDE0DC" w14:textId="77777777" w:rsidR="005F70ED" w:rsidRDefault="005F70ED" w:rsidP="005F70ED">
      <w:pPr>
        <w:pStyle w:val="FootnoteText"/>
      </w:pPr>
      <w:r>
        <w:rPr>
          <w:rStyle w:val="FootnoteReference"/>
        </w:rPr>
        <w:footnoteRef/>
      </w:r>
      <w:r>
        <w:t xml:space="preserve"> </w:t>
      </w:r>
      <w:r w:rsidRPr="00683398">
        <w:t>www.gmc-uk.org/ethical-guidance/good-medical-practice-review</w:t>
      </w:r>
    </w:p>
  </w:footnote>
  <w:footnote w:id="4">
    <w:p w14:paraId="4E637DFC" w14:textId="77777777" w:rsidR="00F069DE" w:rsidRPr="00643031" w:rsidRDefault="00F069DE" w:rsidP="00F069DE">
      <w:pPr>
        <w:pStyle w:val="FootnoteText"/>
        <w:rPr>
          <w:i/>
          <w:iCs/>
        </w:rPr>
      </w:pPr>
      <w:r>
        <w:rPr>
          <w:rStyle w:val="FootnoteReference"/>
        </w:rPr>
        <w:footnoteRef/>
      </w:r>
      <w:r>
        <w:t xml:space="preserve"> </w:t>
      </w:r>
      <w:r w:rsidRPr="00643031">
        <w:t xml:space="preserve">For Northern Ireland, visit </w:t>
      </w:r>
      <w:hyperlink r:id="rId1" w:history="1">
        <w:r w:rsidRPr="00643031">
          <w:rPr>
            <w:rStyle w:val="Hyperlink"/>
          </w:rPr>
          <w:t>www.equalityni.org/Legislation</w:t>
        </w:r>
      </w:hyperlink>
      <w:r>
        <w:rPr>
          <w:i/>
          <w:iCs/>
        </w:rPr>
        <w:t xml:space="preserve"> </w:t>
      </w:r>
    </w:p>
  </w:footnote>
  <w:footnote w:id="5">
    <w:p w14:paraId="5E27376D" w14:textId="77777777" w:rsidR="00F069DE" w:rsidRDefault="00F069DE" w:rsidP="00F069DE">
      <w:pPr>
        <w:pStyle w:val="FootnoteText"/>
      </w:pPr>
      <w:r>
        <w:rPr>
          <w:rStyle w:val="FootnoteReference"/>
        </w:rPr>
        <w:footnoteRef/>
      </w:r>
      <w:r>
        <w:t xml:space="preserve"> </w:t>
      </w:r>
      <w:r w:rsidRPr="00B42597">
        <w:t>www.professionalstandards.org.uk/publications/detail/ethics-in-extraordinary-times-practitioner-experiences-during-the-pandemic</w:t>
      </w:r>
    </w:p>
  </w:footnote>
  <w:footnote w:id="6">
    <w:p w14:paraId="2454B382" w14:textId="77777777" w:rsidR="00F069DE" w:rsidRDefault="00F069DE" w:rsidP="00F069DE">
      <w:pPr>
        <w:pStyle w:val="FootnoteText"/>
      </w:pPr>
      <w:r>
        <w:rPr>
          <w:rStyle w:val="FootnoteReference"/>
        </w:rPr>
        <w:footnoteRef/>
      </w:r>
      <w:r>
        <w:t xml:space="preserve"> For example, the 2018 report from the Professional Standards Authority, </w:t>
      </w:r>
      <w:hyperlink r:id="rId2" w:history="1">
        <w:r w:rsidRPr="003E1FAB">
          <w:rPr>
            <w:rStyle w:val="Hyperlink"/>
            <w:i/>
            <w:iCs/>
          </w:rPr>
          <w:t>Sexual behaviours between health and care practitioners: where does the boundary lie?</w:t>
        </w:r>
      </w:hyperlink>
    </w:p>
  </w:footnote>
  <w:footnote w:id="7">
    <w:p w14:paraId="601E5CF2" w14:textId="77777777" w:rsidR="006A7F97" w:rsidRDefault="006A7F97" w:rsidP="006A7F97">
      <w:pPr>
        <w:pStyle w:val="FootnoteText"/>
      </w:pPr>
      <w:r>
        <w:rPr>
          <w:rStyle w:val="FootnoteReference"/>
        </w:rPr>
        <w:footnoteRef/>
      </w:r>
      <w:r>
        <w:t xml:space="preserve"> </w:t>
      </w:r>
      <w:hyperlink r:id="rId3" w:history="1">
        <w:r w:rsidRPr="00B564B5">
          <w:rPr>
            <w:rStyle w:val="Hyperlink"/>
          </w:rPr>
          <w:t>www.gmc-uk.org/ethical-guidance/ethical-guidance-for-pas-and-aas/advice-for-doctors-who-supervise-pas-and-aas</w:t>
        </w:r>
      </w:hyperlink>
    </w:p>
  </w:footnote>
  <w:footnote w:id="8">
    <w:p w14:paraId="5C7445BF" w14:textId="65E120EE" w:rsidR="00FD4066" w:rsidRDefault="00FD4066">
      <w:pPr>
        <w:pStyle w:val="FootnoteText"/>
      </w:pPr>
      <w:r>
        <w:rPr>
          <w:rStyle w:val="FootnoteReference"/>
        </w:rPr>
        <w:footnoteRef/>
      </w:r>
      <w:r>
        <w:t xml:space="preserve"> You can access each of these pieces of guidance on our website: </w:t>
      </w:r>
      <w:r w:rsidRPr="00FD4066">
        <w:t>https://www.gmc-uk.org/ethical-guidance/ethical-guidance-for-doctors</w:t>
      </w:r>
    </w:p>
  </w:footnote>
  <w:footnote w:id="9">
    <w:p w14:paraId="115A12CE" w14:textId="77777777" w:rsidR="006A7F97" w:rsidRDefault="006A7F97" w:rsidP="006A7F97">
      <w:pPr>
        <w:pStyle w:val="FootnoteText"/>
      </w:pPr>
      <w:r>
        <w:rPr>
          <w:rStyle w:val="FootnoteReference"/>
        </w:rPr>
        <w:footnoteRef/>
      </w:r>
      <w:r>
        <w:t xml:space="preserve"> </w:t>
      </w:r>
      <w:r w:rsidRPr="005A4C27">
        <w:t>www.gmc-uk.org/ethical-guidance/good-medical-practice-review/good-medical-practice-advisory-forum</w:t>
      </w:r>
    </w:p>
  </w:footnote>
  <w:footnote w:id="10">
    <w:p w14:paraId="1C5F055D" w14:textId="77777777" w:rsidR="005719D5" w:rsidRDefault="005719D5" w:rsidP="005719D5">
      <w:pPr>
        <w:pStyle w:val="FootnoteText"/>
      </w:pPr>
      <w:r>
        <w:rPr>
          <w:rStyle w:val="FootnoteReference"/>
        </w:rPr>
        <w:footnoteRef/>
      </w:r>
      <w:r>
        <w:t>www.gmc-uk.org/privacy_policy.asp</w:t>
      </w:r>
    </w:p>
  </w:footnote>
  <w:footnote w:id="11">
    <w:p w14:paraId="52AA41C8" w14:textId="77777777" w:rsidR="00634EAB" w:rsidRDefault="00634EAB" w:rsidP="00634EAB">
      <w:pPr>
        <w:pStyle w:val="FootnoteText"/>
      </w:pPr>
      <w:r>
        <w:rPr>
          <w:rStyle w:val="FootnoteReference"/>
        </w:rPr>
        <w:footnoteRef/>
      </w:r>
      <w:r w:rsidRPr="007D038B">
        <w:t>www.gmc-uk.org/about/how-we-work/equality-and-diversity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B6D1" w14:textId="77777777" w:rsidR="00390061" w:rsidRDefault="0039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A16C" w14:textId="59562762" w:rsidR="009B7887" w:rsidRDefault="009B7887">
    <w:pPr>
      <w:pStyle w:val="Header"/>
      <w:spacing w:line="260" w:lineRule="exac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88C" w14:textId="77777777" w:rsidR="009B7887" w:rsidRDefault="008C59B1">
    <w:pPr>
      <w:pStyle w:val="Header"/>
      <w:spacing w:line="80" w:lineRule="exact"/>
    </w:pPr>
    <w:r>
      <w:rPr>
        <w:noProof/>
        <w:lang w:eastAsia="en-GB"/>
      </w:rPr>
      <w:drawing>
        <wp:anchor distT="0" distB="0" distL="114300" distR="114300" simplePos="0" relativeHeight="251658752" behindDoc="1" locked="0" layoutInCell="1" allowOverlap="1" wp14:anchorId="56FE3DA6" wp14:editId="728FDB46">
          <wp:simplePos x="0" y="0"/>
          <wp:positionH relativeFrom="page">
            <wp:posOffset>5588000</wp:posOffset>
          </wp:positionH>
          <wp:positionV relativeFrom="page">
            <wp:posOffset>431800</wp:posOffset>
          </wp:positionV>
          <wp:extent cx="1303200" cy="108360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 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200" cy="108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A79"/>
    <w:multiLevelType w:val="multilevel"/>
    <w:tmpl w:val="956609EE"/>
    <w:lvl w:ilvl="0">
      <w:start w:val="1"/>
      <w:numFmt w:val="lowerLetter"/>
      <w:lvlRestart w:val="0"/>
      <w:pStyle w:val="GMCA-Ztext"/>
      <w:lvlText w:val="%1"/>
      <w:lvlJc w:val="left"/>
      <w:pPr>
        <w:tabs>
          <w:tab w:val="num" w:pos="850"/>
        </w:tabs>
        <w:ind w:left="850" w:hanging="340"/>
      </w:pPr>
      <w:rPr>
        <w:rFonts w:ascii="Tahoma" w:hAnsi="Tahoma" w:cs="Tahoma" w:hint="default"/>
        <w:b/>
        <w:i w:val="0"/>
        <w:color w:val="009DC2"/>
        <w:sz w:val="24"/>
        <w:u w:val="none"/>
      </w:rPr>
    </w:lvl>
    <w:lvl w:ilvl="1">
      <w:start w:val="1"/>
      <w:numFmt w:val="lowerLetter"/>
      <w:lvlText w:val="%2"/>
      <w:lvlJc w:val="left"/>
      <w:pPr>
        <w:tabs>
          <w:tab w:val="num" w:pos="1440"/>
        </w:tabs>
        <w:ind w:left="1440" w:hanging="720"/>
      </w:pPr>
      <w:rPr>
        <w:rFonts w:hint="default"/>
        <w:b/>
        <w:i w:val="0"/>
        <w:color w:val="30A5BE"/>
        <w:sz w:val="24"/>
      </w:rPr>
    </w:lvl>
    <w:lvl w:ilvl="2">
      <w:start w:val="1"/>
      <w:numFmt w:val="lowerRoman"/>
      <w:lvlText w:val="%3"/>
      <w:lvlJc w:val="left"/>
      <w:pPr>
        <w:tabs>
          <w:tab w:val="num" w:pos="2160"/>
        </w:tabs>
        <w:ind w:left="1797" w:hanging="357"/>
      </w:pPr>
      <w:rPr>
        <w:rFonts w:hint="default"/>
        <w:b/>
        <w:i w:val="0"/>
        <w:sz w:val="24"/>
      </w:rPr>
    </w:lvl>
    <w:lvl w:ilvl="3">
      <w:start w:val="1"/>
      <w:numFmt w:val="decimal"/>
      <w:lvlText w:val="%4"/>
      <w:lvlJc w:val="left"/>
      <w:pPr>
        <w:tabs>
          <w:tab w:val="num" w:pos="2160"/>
        </w:tabs>
        <w:ind w:left="2160" w:hanging="363"/>
      </w:pPr>
      <w:rPr>
        <w:rFonts w:hint="default"/>
        <w:b/>
        <w:i w:val="0"/>
        <w:sz w:val="24"/>
      </w:rPr>
    </w:lvl>
    <w:lvl w:ilvl="4">
      <w:start w:val="1"/>
      <w:numFmt w:val="lowerLetter"/>
      <w:lvlText w:val="%5"/>
      <w:lvlJc w:val="left"/>
      <w:pPr>
        <w:tabs>
          <w:tab w:val="num" w:pos="2517"/>
        </w:tabs>
        <w:ind w:left="2517" w:hanging="357"/>
      </w:pPr>
      <w:rPr>
        <w:rFonts w:hint="default"/>
        <w:b/>
        <w:i w:val="0"/>
        <w:color w:val="30A5BE"/>
        <w:sz w:val="24"/>
      </w:rPr>
    </w:lvl>
    <w:lvl w:ilvl="5">
      <w:start w:val="1"/>
      <w:numFmt w:val="lowerRoman"/>
      <w:lvlText w:val="%6"/>
      <w:lvlJc w:val="left"/>
      <w:pPr>
        <w:tabs>
          <w:tab w:val="num" w:pos="3237"/>
        </w:tabs>
        <w:ind w:left="2880" w:hanging="363"/>
      </w:pPr>
      <w:rPr>
        <w:rFonts w:hint="default"/>
        <w:b/>
        <w:i w:val="0"/>
        <w:sz w:val="24"/>
      </w:rPr>
    </w:lvl>
    <w:lvl w:ilvl="6">
      <w:start w:val="1"/>
      <w:numFmt w:val="decimal"/>
      <w:lvlText w:val="%7"/>
      <w:lvlJc w:val="left"/>
      <w:pPr>
        <w:tabs>
          <w:tab w:val="num" w:pos="3237"/>
        </w:tabs>
        <w:ind w:left="3237" w:hanging="357"/>
      </w:pPr>
      <w:rPr>
        <w:rFonts w:hint="default"/>
        <w:b/>
        <w:i w:val="0"/>
        <w:sz w:val="24"/>
      </w:rPr>
    </w:lvl>
    <w:lvl w:ilvl="7">
      <w:start w:val="1"/>
      <w:numFmt w:val="lowerLetter"/>
      <w:lvlText w:val="%8"/>
      <w:lvlJc w:val="left"/>
      <w:pPr>
        <w:tabs>
          <w:tab w:val="num" w:pos="3600"/>
        </w:tabs>
        <w:ind w:left="3600" w:hanging="363"/>
      </w:pPr>
      <w:rPr>
        <w:rFonts w:hint="default"/>
        <w:b/>
        <w:i w:val="0"/>
        <w:color w:val="30A5BE"/>
        <w:sz w:val="24"/>
      </w:rPr>
    </w:lvl>
    <w:lvl w:ilvl="8">
      <w:start w:val="1"/>
      <w:numFmt w:val="lowerRoman"/>
      <w:lvlText w:val="%9"/>
      <w:lvlJc w:val="left"/>
      <w:pPr>
        <w:tabs>
          <w:tab w:val="num" w:pos="4320"/>
        </w:tabs>
        <w:ind w:left="3957" w:hanging="357"/>
      </w:pPr>
      <w:rPr>
        <w:rFonts w:hint="default"/>
        <w:b/>
        <w:i w:val="0"/>
        <w:sz w:val="24"/>
      </w:rPr>
    </w:lvl>
  </w:abstractNum>
  <w:abstractNum w:abstractNumId="1" w15:restartNumberingAfterBreak="0">
    <w:nsid w:val="3FF25B45"/>
    <w:multiLevelType w:val="hybridMultilevel"/>
    <w:tmpl w:val="7BDE76C4"/>
    <w:lvl w:ilvl="0" w:tplc="C8645DC2">
      <w:start w:val="1"/>
      <w:numFmt w:val="decimal"/>
      <w:lvlText w:val="%1."/>
      <w:lvlJc w:val="left"/>
      <w:pPr>
        <w:tabs>
          <w:tab w:val="num" w:pos="720"/>
        </w:tabs>
        <w:ind w:left="720" w:hanging="360"/>
      </w:pPr>
    </w:lvl>
    <w:lvl w:ilvl="1" w:tplc="524A546C">
      <w:start w:val="1"/>
      <w:numFmt w:val="decimal"/>
      <w:lvlText w:val="%2."/>
      <w:lvlJc w:val="left"/>
      <w:pPr>
        <w:tabs>
          <w:tab w:val="num" w:pos="1440"/>
        </w:tabs>
        <w:ind w:left="1440" w:hanging="360"/>
      </w:pPr>
    </w:lvl>
    <w:lvl w:ilvl="2" w:tplc="146A9956">
      <w:start w:val="1"/>
      <w:numFmt w:val="decimal"/>
      <w:lvlText w:val="%3."/>
      <w:lvlJc w:val="left"/>
      <w:pPr>
        <w:tabs>
          <w:tab w:val="num" w:pos="2160"/>
        </w:tabs>
        <w:ind w:left="2160" w:hanging="360"/>
      </w:pPr>
    </w:lvl>
    <w:lvl w:ilvl="3" w:tplc="DD06DA5A">
      <w:start w:val="1"/>
      <w:numFmt w:val="decimal"/>
      <w:lvlText w:val="%4."/>
      <w:lvlJc w:val="left"/>
      <w:pPr>
        <w:tabs>
          <w:tab w:val="num" w:pos="2880"/>
        </w:tabs>
        <w:ind w:left="2880" w:hanging="360"/>
      </w:pPr>
    </w:lvl>
    <w:lvl w:ilvl="4" w:tplc="50C05A10">
      <w:start w:val="1"/>
      <w:numFmt w:val="decimal"/>
      <w:lvlText w:val="%5."/>
      <w:lvlJc w:val="left"/>
      <w:pPr>
        <w:tabs>
          <w:tab w:val="num" w:pos="3600"/>
        </w:tabs>
        <w:ind w:left="3600" w:hanging="360"/>
      </w:pPr>
    </w:lvl>
    <w:lvl w:ilvl="5" w:tplc="9E7EE648">
      <w:start w:val="1"/>
      <w:numFmt w:val="decimal"/>
      <w:lvlText w:val="%6."/>
      <w:lvlJc w:val="left"/>
      <w:pPr>
        <w:tabs>
          <w:tab w:val="num" w:pos="4320"/>
        </w:tabs>
        <w:ind w:left="4320" w:hanging="360"/>
      </w:pPr>
    </w:lvl>
    <w:lvl w:ilvl="6" w:tplc="FF4A45CE">
      <w:start w:val="1"/>
      <w:numFmt w:val="decimal"/>
      <w:lvlText w:val="%7."/>
      <w:lvlJc w:val="left"/>
      <w:pPr>
        <w:tabs>
          <w:tab w:val="num" w:pos="5040"/>
        </w:tabs>
        <w:ind w:left="5040" w:hanging="360"/>
      </w:pPr>
    </w:lvl>
    <w:lvl w:ilvl="7" w:tplc="67AE06D4">
      <w:start w:val="1"/>
      <w:numFmt w:val="decimal"/>
      <w:lvlText w:val="%8."/>
      <w:lvlJc w:val="left"/>
      <w:pPr>
        <w:tabs>
          <w:tab w:val="num" w:pos="5760"/>
        </w:tabs>
        <w:ind w:left="5760" w:hanging="360"/>
      </w:pPr>
    </w:lvl>
    <w:lvl w:ilvl="8" w:tplc="764A7AB6">
      <w:start w:val="1"/>
      <w:numFmt w:val="decimal"/>
      <w:lvlText w:val="%9."/>
      <w:lvlJc w:val="left"/>
      <w:pPr>
        <w:tabs>
          <w:tab w:val="num" w:pos="6480"/>
        </w:tabs>
        <w:ind w:left="6480" w:hanging="360"/>
      </w:pPr>
    </w:lvl>
  </w:abstractNum>
  <w:abstractNum w:abstractNumId="2" w15:restartNumberingAfterBreak="0">
    <w:nsid w:val="4C7F582C"/>
    <w:multiLevelType w:val="multilevel"/>
    <w:tmpl w:val="AC2CA250"/>
    <w:lvl w:ilvl="0">
      <w:start w:val="1"/>
      <w:numFmt w:val="decimal"/>
      <w:pStyle w:val="GMCNumbertext"/>
      <w:lvlText w:val="%1"/>
      <w:lvlJc w:val="left"/>
      <w:pPr>
        <w:tabs>
          <w:tab w:val="num" w:pos="510"/>
        </w:tabs>
        <w:ind w:left="510" w:hanging="510"/>
      </w:pPr>
      <w:rPr>
        <w:rFonts w:ascii="Tahoma" w:hAnsi="Tahoma" w:hint="default"/>
        <w:b/>
        <w:i w:val="0"/>
        <w:sz w:val="24"/>
      </w:rPr>
    </w:lvl>
    <w:lvl w:ilvl="1">
      <w:start w:val="1"/>
      <w:numFmt w:val="decimal"/>
      <w:lvlText w:val="%1.%2"/>
      <w:lvlJc w:val="left"/>
      <w:pPr>
        <w:tabs>
          <w:tab w:val="num" w:pos="792"/>
        </w:tabs>
        <w:ind w:left="792" w:hanging="432"/>
      </w:pPr>
      <w:rPr>
        <w:rFonts w:ascii="Tahoma" w:hAnsi="Tahoma" w:hint="default"/>
        <w:b/>
        <w:i w:val="0"/>
        <w:sz w:val="24"/>
      </w:rPr>
    </w:lvl>
    <w:lvl w:ilvl="2">
      <w:start w:val="1"/>
      <w:numFmt w:val="decimal"/>
      <w:lvlText w:val="%1.%2.%3"/>
      <w:lvlJc w:val="left"/>
      <w:pPr>
        <w:tabs>
          <w:tab w:val="num" w:pos="1440"/>
        </w:tabs>
        <w:ind w:left="1224" w:hanging="504"/>
      </w:pPr>
      <w:rPr>
        <w:rFonts w:ascii="Tahoma" w:hAnsi="Tahoma" w:hint="default"/>
        <w:b/>
        <w:i w:val="0"/>
        <w:sz w:val="24"/>
      </w:rPr>
    </w:lvl>
    <w:lvl w:ilvl="3">
      <w:start w:val="1"/>
      <w:numFmt w:val="decimal"/>
      <w:lvlText w:val="%1.%2.%3.%4"/>
      <w:lvlJc w:val="left"/>
      <w:pPr>
        <w:tabs>
          <w:tab w:val="num" w:pos="2520"/>
        </w:tabs>
        <w:ind w:left="1728" w:hanging="648"/>
      </w:pPr>
      <w:rPr>
        <w:rFonts w:ascii="Tahoma" w:hAnsi="Tahoma" w:hint="default"/>
        <w:b/>
        <w:i w:val="0"/>
        <w:sz w:val="24"/>
      </w:rPr>
    </w:lvl>
    <w:lvl w:ilvl="4">
      <w:start w:val="1"/>
      <w:numFmt w:val="decimal"/>
      <w:lvlText w:val="%1.%2.%3.%4.%5"/>
      <w:lvlJc w:val="left"/>
      <w:pPr>
        <w:tabs>
          <w:tab w:val="num" w:pos="3240"/>
        </w:tabs>
        <w:ind w:left="2232" w:hanging="792"/>
      </w:pPr>
      <w:rPr>
        <w:rFonts w:ascii="Tahoma" w:hAnsi="Tahoma" w:hint="default"/>
        <w:b/>
        <w:i w:val="0"/>
        <w:sz w:val="24"/>
      </w:rPr>
    </w:lvl>
    <w:lvl w:ilvl="5">
      <w:start w:val="1"/>
      <w:numFmt w:val="decimal"/>
      <w:lvlText w:val="%1.%2.%3.%4.%5.%6"/>
      <w:lvlJc w:val="left"/>
      <w:pPr>
        <w:tabs>
          <w:tab w:val="num" w:pos="3960"/>
        </w:tabs>
        <w:ind w:left="2736" w:hanging="936"/>
      </w:pPr>
      <w:rPr>
        <w:rFonts w:ascii="Tahoma" w:hAnsi="Tahoma" w:hint="default"/>
        <w:b/>
        <w:i w:val="0"/>
        <w:sz w:val="24"/>
      </w:rPr>
    </w:lvl>
    <w:lvl w:ilvl="6">
      <w:start w:val="1"/>
      <w:numFmt w:val="decimal"/>
      <w:lvlText w:val="%1.%2.%3.%4.%5.%6.%7"/>
      <w:lvlJc w:val="left"/>
      <w:pPr>
        <w:tabs>
          <w:tab w:val="num" w:pos="4680"/>
        </w:tabs>
        <w:ind w:left="3240" w:hanging="1080"/>
      </w:pPr>
      <w:rPr>
        <w:rFonts w:ascii="Tahoma" w:hAnsi="Tahoma" w:hint="default"/>
        <w:b/>
        <w:i w:val="0"/>
        <w:sz w:val="24"/>
      </w:rPr>
    </w:lvl>
    <w:lvl w:ilvl="7">
      <w:start w:val="1"/>
      <w:numFmt w:val="decimal"/>
      <w:lvlText w:val="%1.%2.%3.%4.%5.%6.%7.%8"/>
      <w:lvlJc w:val="left"/>
      <w:pPr>
        <w:tabs>
          <w:tab w:val="num" w:pos="5400"/>
        </w:tabs>
        <w:ind w:left="3744" w:hanging="1224"/>
      </w:pPr>
      <w:rPr>
        <w:rFonts w:ascii="Tahoma" w:hAnsi="Tahoma" w:hint="default"/>
        <w:b/>
        <w:i w:val="0"/>
        <w:sz w:val="24"/>
      </w:rPr>
    </w:lvl>
    <w:lvl w:ilvl="8">
      <w:start w:val="1"/>
      <w:numFmt w:val="decimal"/>
      <w:lvlText w:val="%1.%2.%3.%4.%5.%6.%7.%8.%9"/>
      <w:lvlJc w:val="left"/>
      <w:pPr>
        <w:tabs>
          <w:tab w:val="num" w:pos="6120"/>
        </w:tabs>
        <w:ind w:left="4320" w:hanging="1440"/>
      </w:pPr>
      <w:rPr>
        <w:rFonts w:ascii="Tahoma" w:hAnsi="Tahoma" w:hint="default"/>
        <w:b/>
        <w:i w:val="0"/>
        <w:sz w:val="24"/>
      </w:rPr>
    </w:lvl>
  </w:abstractNum>
  <w:abstractNum w:abstractNumId="3" w15:restartNumberingAfterBreak="0">
    <w:nsid w:val="4E9E3D16"/>
    <w:multiLevelType w:val="hybridMultilevel"/>
    <w:tmpl w:val="5FC20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F32F9"/>
    <w:multiLevelType w:val="multilevel"/>
    <w:tmpl w:val="44166C74"/>
    <w:lvl w:ilvl="0">
      <w:start w:val="1"/>
      <w:numFmt w:val="bullet"/>
      <w:pStyle w:val="ListBullet"/>
      <w:lvlText w:val=""/>
      <w:lvlJc w:val="left"/>
      <w:pPr>
        <w:ind w:left="851" w:hanging="341"/>
      </w:pPr>
      <w:rPr>
        <w:rFonts w:ascii="Wingdings" w:hAnsi="Wingdings" w:hint="default"/>
        <w:b/>
        <w:i w:val="0"/>
        <w:color w:val="30A5BE"/>
        <w:sz w:val="18"/>
      </w:rPr>
    </w:lvl>
    <w:lvl w:ilvl="1">
      <w:start w:val="1"/>
      <w:numFmt w:val="bullet"/>
      <w:pStyle w:val="ListBullet2"/>
      <w:lvlText w:val=""/>
      <w:lvlJc w:val="left"/>
      <w:pPr>
        <w:ind w:left="1304" w:hanging="453"/>
      </w:pPr>
      <w:rPr>
        <w:rFonts w:ascii="Wingdings" w:hAnsi="Wingdings" w:hint="default"/>
        <w:b/>
        <w:i w:val="0"/>
        <w:color w:val="00377B"/>
        <w:sz w:val="18"/>
      </w:rPr>
    </w:lvl>
    <w:lvl w:ilvl="2">
      <w:start w:val="1"/>
      <w:numFmt w:val="bullet"/>
      <w:pStyle w:val="ListBullet3"/>
      <w:lvlText w:val=""/>
      <w:lvlJc w:val="left"/>
      <w:pPr>
        <w:ind w:left="1985" w:hanging="681"/>
      </w:pPr>
      <w:rPr>
        <w:rFonts w:ascii="Wingdings" w:hAnsi="Wingdings" w:hint="default"/>
        <w:b/>
        <w:i w:val="0"/>
        <w:color w:val="00377B"/>
        <w:sz w:val="18"/>
      </w:rPr>
    </w:lvl>
    <w:lvl w:ilvl="3">
      <w:start w:val="1"/>
      <w:numFmt w:val="bullet"/>
      <w:pStyle w:val="ListBullet4"/>
      <w:lvlText w:val=""/>
      <w:lvlJc w:val="left"/>
      <w:pPr>
        <w:ind w:left="2552" w:hanging="567"/>
      </w:pPr>
      <w:rPr>
        <w:rFonts w:ascii="Wingdings" w:hAnsi="Wingdings" w:hint="default"/>
        <w:b/>
        <w:i w:val="0"/>
        <w:color w:val="00377B"/>
        <w:sz w:val="18"/>
      </w:rPr>
    </w:lvl>
    <w:lvl w:ilvl="4">
      <w:start w:val="1"/>
      <w:numFmt w:val="bullet"/>
      <w:pStyle w:val="ListBullet5"/>
      <w:lvlText w:val=""/>
      <w:lvlJc w:val="left"/>
      <w:pPr>
        <w:ind w:left="3119" w:hanging="567"/>
      </w:pPr>
      <w:rPr>
        <w:rFonts w:ascii="Wingdings" w:hAnsi="Wingdings" w:hint="default"/>
        <w:b/>
        <w:i w:val="0"/>
        <w:color w:val="00377B"/>
        <w:sz w:val="18"/>
      </w:rPr>
    </w:lvl>
    <w:lvl w:ilvl="5">
      <w:start w:val="1"/>
      <w:numFmt w:val="none"/>
      <w:lvlText w:val="%1.%2.%3.%4.%5.%6."/>
      <w:lvlJc w:val="left"/>
      <w:pPr>
        <w:tabs>
          <w:tab w:val="num" w:pos="5895"/>
        </w:tabs>
        <w:ind w:left="5895" w:hanging="510"/>
      </w:pPr>
      <w:rPr>
        <w:rFonts w:hint="default"/>
      </w:rPr>
    </w:lvl>
    <w:lvl w:ilvl="6">
      <w:start w:val="1"/>
      <w:numFmt w:val="none"/>
      <w:lvlText w:val="%1.%2.%3.%4.%5.%6.%7."/>
      <w:lvlJc w:val="left"/>
      <w:pPr>
        <w:tabs>
          <w:tab w:val="num" w:pos="6972"/>
        </w:tabs>
        <w:ind w:left="6972" w:hanging="510"/>
      </w:pPr>
      <w:rPr>
        <w:rFonts w:hint="default"/>
      </w:rPr>
    </w:lvl>
    <w:lvl w:ilvl="7">
      <w:start w:val="1"/>
      <w:numFmt w:val="none"/>
      <w:lvlText w:val="%1.%2.%3.%4.%5.%6.%7.%8."/>
      <w:lvlJc w:val="left"/>
      <w:pPr>
        <w:tabs>
          <w:tab w:val="num" w:pos="8049"/>
        </w:tabs>
        <w:ind w:left="8049" w:hanging="510"/>
      </w:pPr>
      <w:rPr>
        <w:rFonts w:hint="default"/>
      </w:rPr>
    </w:lvl>
    <w:lvl w:ilvl="8">
      <w:start w:val="1"/>
      <w:numFmt w:val="none"/>
      <w:lvlText w:val="%1.%2.%3.%4.%5.%6.%7.%8.%9."/>
      <w:lvlJc w:val="left"/>
      <w:pPr>
        <w:tabs>
          <w:tab w:val="num" w:pos="9126"/>
        </w:tabs>
        <w:ind w:left="9126" w:hanging="510"/>
      </w:pPr>
      <w:rPr>
        <w:rFonts w:hint="default"/>
      </w:rPr>
    </w:lvl>
  </w:abstractNum>
  <w:abstractNum w:abstractNumId="5" w15:restartNumberingAfterBreak="0">
    <w:nsid w:val="55295B5D"/>
    <w:multiLevelType w:val="multilevel"/>
    <w:tmpl w:val="3F10A84A"/>
    <w:lvl w:ilvl="0">
      <w:start w:val="1"/>
      <w:numFmt w:val="decimal"/>
      <w:lvlText w:val="%1"/>
      <w:lvlJc w:val="left"/>
      <w:pPr>
        <w:tabs>
          <w:tab w:val="num" w:pos="510"/>
        </w:tabs>
        <w:ind w:left="510" w:hanging="510"/>
      </w:pPr>
      <w:rPr>
        <w:rFonts w:ascii="Tahoma" w:hAnsi="Tahoma" w:hint="default"/>
        <w:b/>
        <w:i w:val="0"/>
        <w:sz w:val="24"/>
      </w:rPr>
    </w:lvl>
    <w:lvl w:ilvl="1">
      <w:start w:val="1"/>
      <w:numFmt w:val="lowerLetter"/>
      <w:pStyle w:val="ListNumber2"/>
      <w:lvlText w:val="%2"/>
      <w:lvlJc w:val="left"/>
      <w:pPr>
        <w:tabs>
          <w:tab w:val="num" w:pos="850"/>
        </w:tabs>
        <w:ind w:left="850" w:hanging="340"/>
      </w:pPr>
      <w:rPr>
        <w:rFonts w:ascii="Tahoma" w:hAnsi="Tahoma" w:hint="default"/>
        <w:b/>
        <w:i w:val="0"/>
        <w:color w:val="009DC2"/>
        <w:sz w:val="24"/>
      </w:rPr>
    </w:lvl>
    <w:lvl w:ilvl="2">
      <w:start w:val="1"/>
      <w:numFmt w:val="lowerRoman"/>
      <w:pStyle w:val="ListNumber3"/>
      <w:lvlText w:val="%3"/>
      <w:lvlJc w:val="left"/>
      <w:pPr>
        <w:tabs>
          <w:tab w:val="num" w:pos="1304"/>
        </w:tabs>
        <w:ind w:left="1304" w:hanging="454"/>
      </w:pPr>
      <w:rPr>
        <w:rFonts w:ascii="Tahoma" w:hAnsi="Tahoma" w:hint="default"/>
        <w:b/>
        <w:i w:val="0"/>
        <w:sz w:val="24"/>
      </w:rPr>
    </w:lvl>
    <w:lvl w:ilvl="3">
      <w:start w:val="1"/>
      <w:numFmt w:val="decimal"/>
      <w:lvlText w:val="%4."/>
      <w:lvlJc w:val="left"/>
      <w:pPr>
        <w:tabs>
          <w:tab w:val="num" w:pos="1721"/>
        </w:tabs>
        <w:ind w:left="1361" w:firstLine="0"/>
      </w:pPr>
      <w:rPr>
        <w:rFonts w:hint="default"/>
      </w:rPr>
    </w:lvl>
    <w:lvl w:ilvl="4">
      <w:start w:val="1"/>
      <w:numFmt w:val="lowerLetter"/>
      <w:lvlText w:val="%5."/>
      <w:lvlJc w:val="left"/>
      <w:pPr>
        <w:tabs>
          <w:tab w:val="num" w:pos="1721"/>
        </w:tabs>
        <w:ind w:left="1361" w:firstLine="0"/>
      </w:pPr>
      <w:rPr>
        <w:rFonts w:hint="default"/>
      </w:rPr>
    </w:lvl>
    <w:lvl w:ilvl="5">
      <w:start w:val="1"/>
      <w:numFmt w:val="lowerRoman"/>
      <w:lvlText w:val="%6."/>
      <w:lvlJc w:val="left"/>
      <w:pPr>
        <w:tabs>
          <w:tab w:val="num" w:pos="2081"/>
        </w:tabs>
        <w:ind w:left="1361" w:firstLine="0"/>
      </w:pPr>
      <w:rPr>
        <w:rFonts w:hint="default"/>
      </w:rPr>
    </w:lvl>
    <w:lvl w:ilvl="6">
      <w:start w:val="1"/>
      <w:numFmt w:val="decimal"/>
      <w:lvlText w:val="%7."/>
      <w:lvlJc w:val="left"/>
      <w:pPr>
        <w:tabs>
          <w:tab w:val="num" w:pos="1721"/>
        </w:tabs>
        <w:ind w:left="1361" w:firstLine="0"/>
      </w:pPr>
      <w:rPr>
        <w:rFonts w:hint="default"/>
      </w:rPr>
    </w:lvl>
    <w:lvl w:ilvl="7">
      <w:start w:val="1"/>
      <w:numFmt w:val="lowerLetter"/>
      <w:lvlText w:val="%8."/>
      <w:lvlJc w:val="left"/>
      <w:pPr>
        <w:tabs>
          <w:tab w:val="num" w:pos="1721"/>
        </w:tabs>
        <w:ind w:left="1361" w:firstLine="0"/>
      </w:pPr>
      <w:rPr>
        <w:rFonts w:hint="default"/>
      </w:rPr>
    </w:lvl>
    <w:lvl w:ilvl="8">
      <w:start w:val="1"/>
      <w:numFmt w:val="lowerRoman"/>
      <w:lvlText w:val="%9."/>
      <w:lvlJc w:val="left"/>
      <w:pPr>
        <w:tabs>
          <w:tab w:val="num" w:pos="2081"/>
        </w:tabs>
        <w:ind w:left="1361" w:firstLine="0"/>
      </w:pPr>
      <w:rPr>
        <w:rFonts w:hint="default"/>
      </w:rPr>
    </w:lvl>
  </w:abstractNum>
  <w:abstractNum w:abstractNumId="6" w15:restartNumberingAfterBreak="0">
    <w:nsid w:val="7A2118D8"/>
    <w:multiLevelType w:val="multilevel"/>
    <w:tmpl w:val="F4E8ED5A"/>
    <w:lvl w:ilvl="0">
      <w:start w:val="1"/>
      <w:numFmt w:val="lowerRoman"/>
      <w:lvlRestart w:val="0"/>
      <w:pStyle w:val="GMCRomantext"/>
      <w:lvlText w:val="%1"/>
      <w:lvlJc w:val="left"/>
      <w:pPr>
        <w:tabs>
          <w:tab w:val="num" w:pos="1304"/>
        </w:tabs>
        <w:ind w:left="1304" w:hanging="454"/>
      </w:pPr>
      <w:rPr>
        <w:rFonts w:ascii="Tahoma" w:hAnsi="Tahoma" w:cs="Tahoma"/>
        <w:b/>
        <w:color w:val="000000"/>
        <w:sz w:val="24"/>
        <w:u w:val="none"/>
      </w:rPr>
    </w:lvl>
    <w:lvl w:ilvl="1">
      <w:start w:val="1"/>
      <w:numFmt w:val="lowerRoman"/>
      <w:lvlText w:val="%1.%2"/>
      <w:lvlJc w:val="left"/>
      <w:pPr>
        <w:tabs>
          <w:tab w:val="num" w:pos="1077"/>
        </w:tabs>
        <w:ind w:left="1077" w:hanging="431"/>
      </w:pPr>
      <w:rPr>
        <w:rFonts w:ascii="Tahoma" w:hAnsi="Tahoma" w:cs="Tahoma"/>
        <w:b/>
        <w:sz w:val="24"/>
      </w:rPr>
    </w:lvl>
    <w:lvl w:ilvl="2">
      <w:start w:val="1"/>
      <w:numFmt w:val="lowerRoman"/>
      <w:lvlText w:val="%1.%2.%3"/>
      <w:lvlJc w:val="left"/>
      <w:pPr>
        <w:tabs>
          <w:tab w:val="num" w:pos="1723"/>
        </w:tabs>
        <w:ind w:left="1508" w:hanging="505"/>
      </w:pPr>
      <w:rPr>
        <w:rFonts w:ascii="Tahoma" w:hAnsi="Tahoma" w:cs="Tahoma"/>
        <w:b/>
        <w:sz w:val="24"/>
      </w:rPr>
    </w:lvl>
    <w:lvl w:ilvl="3">
      <w:start w:val="1"/>
      <w:numFmt w:val="lowerRoman"/>
      <w:lvlText w:val="%1.%2.%3.%4"/>
      <w:lvlJc w:val="left"/>
      <w:pPr>
        <w:tabs>
          <w:tab w:val="num" w:pos="2806"/>
        </w:tabs>
        <w:ind w:left="2013" w:hanging="647"/>
      </w:pPr>
      <w:rPr>
        <w:rFonts w:ascii="Tahoma" w:hAnsi="Tahoma" w:cs="Tahoma"/>
        <w:b/>
        <w:sz w:val="24"/>
      </w:rPr>
    </w:lvl>
    <w:lvl w:ilvl="4">
      <w:start w:val="1"/>
      <w:numFmt w:val="lowerRoman"/>
      <w:lvlText w:val="%1.%2.%3.%4.%5"/>
      <w:lvlJc w:val="left"/>
      <w:pPr>
        <w:tabs>
          <w:tab w:val="num" w:pos="3526"/>
        </w:tabs>
        <w:ind w:left="2517" w:hanging="794"/>
      </w:pPr>
      <w:rPr>
        <w:rFonts w:ascii="Tahoma" w:hAnsi="Tahoma" w:cs="Tahoma"/>
        <w:b/>
        <w:sz w:val="24"/>
      </w:rPr>
    </w:lvl>
    <w:lvl w:ilvl="5">
      <w:start w:val="1"/>
      <w:numFmt w:val="lowerRoman"/>
      <w:lvlText w:val="%1.%2.%3.%4.%5.%6"/>
      <w:lvlJc w:val="left"/>
      <w:pPr>
        <w:tabs>
          <w:tab w:val="num" w:pos="4241"/>
        </w:tabs>
        <w:ind w:left="3022" w:hanging="936"/>
      </w:pPr>
      <w:rPr>
        <w:rFonts w:ascii="Tahoma" w:hAnsi="Tahoma" w:cs="Tahoma"/>
        <w:b/>
        <w:sz w:val="24"/>
      </w:rPr>
    </w:lvl>
    <w:lvl w:ilvl="6">
      <w:start w:val="1"/>
      <w:numFmt w:val="lowerRoman"/>
      <w:lvlText w:val="%1.%2.%3.%4.%5.%6.%7"/>
      <w:lvlJc w:val="left"/>
      <w:pPr>
        <w:tabs>
          <w:tab w:val="num" w:pos="4961"/>
        </w:tabs>
        <w:ind w:left="3526" w:hanging="1083"/>
      </w:pPr>
      <w:rPr>
        <w:rFonts w:ascii="Tahoma" w:hAnsi="Tahoma" w:cs="Tahoma"/>
        <w:b/>
        <w:sz w:val="24"/>
      </w:rPr>
    </w:lvl>
    <w:lvl w:ilvl="7">
      <w:start w:val="1"/>
      <w:numFmt w:val="lowerRoman"/>
      <w:lvlText w:val="%1.%2.%3.%4.%5.%6.%7.%8"/>
      <w:lvlJc w:val="left"/>
      <w:pPr>
        <w:tabs>
          <w:tab w:val="num" w:pos="5681"/>
        </w:tabs>
        <w:ind w:left="4025" w:hanging="1219"/>
      </w:pPr>
      <w:rPr>
        <w:rFonts w:ascii="Tahoma" w:hAnsi="Tahoma" w:cs="Tahoma"/>
        <w:b/>
        <w:sz w:val="24"/>
      </w:rPr>
    </w:lvl>
    <w:lvl w:ilvl="8">
      <w:start w:val="1"/>
      <w:numFmt w:val="lowerRoman"/>
      <w:lvlText w:val="%1.%2.%3.%4.%5.%6.%7.%8.%9"/>
      <w:lvlJc w:val="left"/>
      <w:pPr>
        <w:tabs>
          <w:tab w:val="num" w:pos="6401"/>
        </w:tabs>
        <w:ind w:left="4603" w:hanging="1440"/>
      </w:pPr>
      <w:rPr>
        <w:rFonts w:ascii="Tahoma" w:hAnsi="Tahoma" w:cs="Tahoma"/>
        <w:b/>
        <w:sz w:val="24"/>
      </w:rPr>
    </w:lvl>
  </w:abstractNum>
  <w:num w:numId="1" w16cid:durableId="1159007405">
    <w:abstractNumId w:val="2"/>
  </w:num>
  <w:num w:numId="2" w16cid:durableId="129253180">
    <w:abstractNumId w:val="0"/>
  </w:num>
  <w:num w:numId="3" w16cid:durableId="844395784">
    <w:abstractNumId w:val="4"/>
  </w:num>
  <w:num w:numId="4" w16cid:durableId="1048919505">
    <w:abstractNumId w:val="2"/>
  </w:num>
  <w:num w:numId="5" w16cid:durableId="606155792">
    <w:abstractNumId w:val="6"/>
  </w:num>
  <w:num w:numId="6" w16cid:durableId="353654490">
    <w:abstractNumId w:val="4"/>
  </w:num>
  <w:num w:numId="7" w16cid:durableId="374820311">
    <w:abstractNumId w:val="5"/>
  </w:num>
  <w:num w:numId="8" w16cid:durableId="1844516575">
    <w:abstractNumId w:val="3"/>
  </w:num>
  <w:num w:numId="9" w16cid:durableId="2028099634">
    <w:abstractNumId w:val="0"/>
  </w:num>
  <w:num w:numId="10" w16cid:durableId="177020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892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616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93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543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668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43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numFmt w:val="chicago"/>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4F"/>
    <w:rsid w:val="0000315C"/>
    <w:rsid w:val="000101C6"/>
    <w:rsid w:val="00017928"/>
    <w:rsid w:val="00024E53"/>
    <w:rsid w:val="00040080"/>
    <w:rsid w:val="00050CDC"/>
    <w:rsid w:val="00056D9E"/>
    <w:rsid w:val="0007456E"/>
    <w:rsid w:val="000745D7"/>
    <w:rsid w:val="00077969"/>
    <w:rsid w:val="000838AF"/>
    <w:rsid w:val="000A57AE"/>
    <w:rsid w:val="000B164A"/>
    <w:rsid w:val="000C097E"/>
    <w:rsid w:val="000D60CE"/>
    <w:rsid w:val="000E341A"/>
    <w:rsid w:val="00102B23"/>
    <w:rsid w:val="001118EE"/>
    <w:rsid w:val="001139E1"/>
    <w:rsid w:val="00116A4A"/>
    <w:rsid w:val="00133F07"/>
    <w:rsid w:val="00142C88"/>
    <w:rsid w:val="00145812"/>
    <w:rsid w:val="00171042"/>
    <w:rsid w:val="001904A0"/>
    <w:rsid w:val="00194534"/>
    <w:rsid w:val="001B3737"/>
    <w:rsid w:val="001C1F45"/>
    <w:rsid w:val="001C6698"/>
    <w:rsid w:val="001C78C6"/>
    <w:rsid w:val="001C79A0"/>
    <w:rsid w:val="001D19A6"/>
    <w:rsid w:val="001E29B4"/>
    <w:rsid w:val="001E381F"/>
    <w:rsid w:val="001E3D9E"/>
    <w:rsid w:val="001E4449"/>
    <w:rsid w:val="001F2470"/>
    <w:rsid w:val="001F4552"/>
    <w:rsid w:val="00212BC6"/>
    <w:rsid w:val="00213C9D"/>
    <w:rsid w:val="00215800"/>
    <w:rsid w:val="00216803"/>
    <w:rsid w:val="002306AE"/>
    <w:rsid w:val="00236B5C"/>
    <w:rsid w:val="0023757D"/>
    <w:rsid w:val="002420B4"/>
    <w:rsid w:val="00244635"/>
    <w:rsid w:val="00260D12"/>
    <w:rsid w:val="00261F48"/>
    <w:rsid w:val="00266BBB"/>
    <w:rsid w:val="00270153"/>
    <w:rsid w:val="00274A94"/>
    <w:rsid w:val="0027634F"/>
    <w:rsid w:val="00280C24"/>
    <w:rsid w:val="00290981"/>
    <w:rsid w:val="00292C4F"/>
    <w:rsid w:val="002A19A0"/>
    <w:rsid w:val="002B4B23"/>
    <w:rsid w:val="002B4DF7"/>
    <w:rsid w:val="002B73B7"/>
    <w:rsid w:val="002C3FC9"/>
    <w:rsid w:val="002C4D64"/>
    <w:rsid w:val="002D66C0"/>
    <w:rsid w:val="002D7818"/>
    <w:rsid w:val="002F230B"/>
    <w:rsid w:val="00312ECE"/>
    <w:rsid w:val="003169FD"/>
    <w:rsid w:val="0033156E"/>
    <w:rsid w:val="00337176"/>
    <w:rsid w:val="00343196"/>
    <w:rsid w:val="003612D4"/>
    <w:rsid w:val="00363086"/>
    <w:rsid w:val="00364520"/>
    <w:rsid w:val="00373894"/>
    <w:rsid w:val="00382C43"/>
    <w:rsid w:val="00390061"/>
    <w:rsid w:val="003928E2"/>
    <w:rsid w:val="00394C22"/>
    <w:rsid w:val="003A03B5"/>
    <w:rsid w:val="003A68DF"/>
    <w:rsid w:val="003B00F6"/>
    <w:rsid w:val="003B1DAF"/>
    <w:rsid w:val="003B45BA"/>
    <w:rsid w:val="003D76B2"/>
    <w:rsid w:val="003E4806"/>
    <w:rsid w:val="003E5026"/>
    <w:rsid w:val="003F15B0"/>
    <w:rsid w:val="004005FD"/>
    <w:rsid w:val="00402B6C"/>
    <w:rsid w:val="00405301"/>
    <w:rsid w:val="00405E27"/>
    <w:rsid w:val="00405F25"/>
    <w:rsid w:val="00411115"/>
    <w:rsid w:val="00414F02"/>
    <w:rsid w:val="00420678"/>
    <w:rsid w:val="00423375"/>
    <w:rsid w:val="00425847"/>
    <w:rsid w:val="00426D23"/>
    <w:rsid w:val="00443C83"/>
    <w:rsid w:val="00445319"/>
    <w:rsid w:val="00445AC7"/>
    <w:rsid w:val="004473E8"/>
    <w:rsid w:val="00447B77"/>
    <w:rsid w:val="0045046B"/>
    <w:rsid w:val="00454C19"/>
    <w:rsid w:val="00472098"/>
    <w:rsid w:val="00477FDD"/>
    <w:rsid w:val="00487575"/>
    <w:rsid w:val="00490FED"/>
    <w:rsid w:val="004933A2"/>
    <w:rsid w:val="004970E9"/>
    <w:rsid w:val="004C3355"/>
    <w:rsid w:val="004C5BB5"/>
    <w:rsid w:val="004D6C57"/>
    <w:rsid w:val="004E6B60"/>
    <w:rsid w:val="004F37E5"/>
    <w:rsid w:val="00501ACB"/>
    <w:rsid w:val="00507DB9"/>
    <w:rsid w:val="005242BA"/>
    <w:rsid w:val="00525CD0"/>
    <w:rsid w:val="00533A18"/>
    <w:rsid w:val="00534845"/>
    <w:rsid w:val="00535721"/>
    <w:rsid w:val="00546B2C"/>
    <w:rsid w:val="00550993"/>
    <w:rsid w:val="005628F6"/>
    <w:rsid w:val="00562F33"/>
    <w:rsid w:val="005719D5"/>
    <w:rsid w:val="00577B59"/>
    <w:rsid w:val="005867A3"/>
    <w:rsid w:val="00592DCD"/>
    <w:rsid w:val="005A4F8C"/>
    <w:rsid w:val="005B1A07"/>
    <w:rsid w:val="005C1E98"/>
    <w:rsid w:val="005D3EEB"/>
    <w:rsid w:val="005F0FE0"/>
    <w:rsid w:val="005F3C12"/>
    <w:rsid w:val="005F6C4F"/>
    <w:rsid w:val="005F70ED"/>
    <w:rsid w:val="006058C4"/>
    <w:rsid w:val="006101EF"/>
    <w:rsid w:val="006175E5"/>
    <w:rsid w:val="006177C5"/>
    <w:rsid w:val="00622267"/>
    <w:rsid w:val="00623A0B"/>
    <w:rsid w:val="00626BA0"/>
    <w:rsid w:val="00634EAB"/>
    <w:rsid w:val="006443CA"/>
    <w:rsid w:val="006470D8"/>
    <w:rsid w:val="006526D4"/>
    <w:rsid w:val="0065760A"/>
    <w:rsid w:val="006618B5"/>
    <w:rsid w:val="006626C3"/>
    <w:rsid w:val="00664B7B"/>
    <w:rsid w:val="00667C83"/>
    <w:rsid w:val="0067591A"/>
    <w:rsid w:val="0069736E"/>
    <w:rsid w:val="006A2DC2"/>
    <w:rsid w:val="006A5A90"/>
    <w:rsid w:val="006A7F97"/>
    <w:rsid w:val="006B209A"/>
    <w:rsid w:val="006B46D1"/>
    <w:rsid w:val="006C4BAC"/>
    <w:rsid w:val="006D11D2"/>
    <w:rsid w:val="006D5D68"/>
    <w:rsid w:val="006E4C3D"/>
    <w:rsid w:val="006E5B37"/>
    <w:rsid w:val="006F0600"/>
    <w:rsid w:val="006F7B94"/>
    <w:rsid w:val="00707104"/>
    <w:rsid w:val="00713718"/>
    <w:rsid w:val="0071559C"/>
    <w:rsid w:val="00715707"/>
    <w:rsid w:val="007425BF"/>
    <w:rsid w:val="00742E86"/>
    <w:rsid w:val="0075520B"/>
    <w:rsid w:val="00755803"/>
    <w:rsid w:val="007605B6"/>
    <w:rsid w:val="00763D86"/>
    <w:rsid w:val="00766F79"/>
    <w:rsid w:val="0077677B"/>
    <w:rsid w:val="007839E0"/>
    <w:rsid w:val="007A3660"/>
    <w:rsid w:val="007C3B25"/>
    <w:rsid w:val="007C4064"/>
    <w:rsid w:val="007C5E1B"/>
    <w:rsid w:val="007E00AA"/>
    <w:rsid w:val="007E083A"/>
    <w:rsid w:val="007E6622"/>
    <w:rsid w:val="007E6887"/>
    <w:rsid w:val="007F3BB5"/>
    <w:rsid w:val="007F6CF2"/>
    <w:rsid w:val="007F7BBC"/>
    <w:rsid w:val="008008B3"/>
    <w:rsid w:val="008025A9"/>
    <w:rsid w:val="00804EA2"/>
    <w:rsid w:val="0080794B"/>
    <w:rsid w:val="00810B81"/>
    <w:rsid w:val="00820C3D"/>
    <w:rsid w:val="008212FF"/>
    <w:rsid w:val="0084008B"/>
    <w:rsid w:val="00844049"/>
    <w:rsid w:val="00850C0F"/>
    <w:rsid w:val="0085699C"/>
    <w:rsid w:val="00866790"/>
    <w:rsid w:val="00874D5B"/>
    <w:rsid w:val="00875914"/>
    <w:rsid w:val="008819CB"/>
    <w:rsid w:val="008878DB"/>
    <w:rsid w:val="00894329"/>
    <w:rsid w:val="00897BA9"/>
    <w:rsid w:val="008A0658"/>
    <w:rsid w:val="008B0C91"/>
    <w:rsid w:val="008B2A86"/>
    <w:rsid w:val="008C59B1"/>
    <w:rsid w:val="008C6026"/>
    <w:rsid w:val="008C65C9"/>
    <w:rsid w:val="008C7D6B"/>
    <w:rsid w:val="008D63CA"/>
    <w:rsid w:val="008E223E"/>
    <w:rsid w:val="008E3026"/>
    <w:rsid w:val="00920B84"/>
    <w:rsid w:val="00921335"/>
    <w:rsid w:val="0093627C"/>
    <w:rsid w:val="00941038"/>
    <w:rsid w:val="00941558"/>
    <w:rsid w:val="00944536"/>
    <w:rsid w:val="009469C8"/>
    <w:rsid w:val="00946CFD"/>
    <w:rsid w:val="009547FB"/>
    <w:rsid w:val="00956C54"/>
    <w:rsid w:val="0097040D"/>
    <w:rsid w:val="00984558"/>
    <w:rsid w:val="00993E92"/>
    <w:rsid w:val="009B5C71"/>
    <w:rsid w:val="009B6F1F"/>
    <w:rsid w:val="009B7887"/>
    <w:rsid w:val="009B7B48"/>
    <w:rsid w:val="009C7228"/>
    <w:rsid w:val="009E01F7"/>
    <w:rsid w:val="009E1328"/>
    <w:rsid w:val="009E75AE"/>
    <w:rsid w:val="009F4FDC"/>
    <w:rsid w:val="00A03567"/>
    <w:rsid w:val="00A06083"/>
    <w:rsid w:val="00A214E1"/>
    <w:rsid w:val="00A3531C"/>
    <w:rsid w:val="00A44AA6"/>
    <w:rsid w:val="00A476DA"/>
    <w:rsid w:val="00A52311"/>
    <w:rsid w:val="00A63DF1"/>
    <w:rsid w:val="00A64DED"/>
    <w:rsid w:val="00A76BF4"/>
    <w:rsid w:val="00A773FE"/>
    <w:rsid w:val="00A9133D"/>
    <w:rsid w:val="00AA41B6"/>
    <w:rsid w:val="00AA5643"/>
    <w:rsid w:val="00AB31BA"/>
    <w:rsid w:val="00AC3B24"/>
    <w:rsid w:val="00AC4AA7"/>
    <w:rsid w:val="00AD27D4"/>
    <w:rsid w:val="00AE6DB8"/>
    <w:rsid w:val="00AF458A"/>
    <w:rsid w:val="00B03430"/>
    <w:rsid w:val="00B06A2B"/>
    <w:rsid w:val="00B211E2"/>
    <w:rsid w:val="00B228BB"/>
    <w:rsid w:val="00B3431C"/>
    <w:rsid w:val="00B353AB"/>
    <w:rsid w:val="00B36F2A"/>
    <w:rsid w:val="00B41A93"/>
    <w:rsid w:val="00B44DDA"/>
    <w:rsid w:val="00B53873"/>
    <w:rsid w:val="00B55E13"/>
    <w:rsid w:val="00B62C90"/>
    <w:rsid w:val="00B74EF7"/>
    <w:rsid w:val="00B77E6F"/>
    <w:rsid w:val="00B9168E"/>
    <w:rsid w:val="00BA24F6"/>
    <w:rsid w:val="00BA477F"/>
    <w:rsid w:val="00BB796D"/>
    <w:rsid w:val="00BC1446"/>
    <w:rsid w:val="00BD1DDA"/>
    <w:rsid w:val="00BD2893"/>
    <w:rsid w:val="00BD4F9B"/>
    <w:rsid w:val="00BE6542"/>
    <w:rsid w:val="00BF2D58"/>
    <w:rsid w:val="00BF7A6F"/>
    <w:rsid w:val="00C32C96"/>
    <w:rsid w:val="00C33516"/>
    <w:rsid w:val="00C363DD"/>
    <w:rsid w:val="00C61760"/>
    <w:rsid w:val="00C64989"/>
    <w:rsid w:val="00C661A0"/>
    <w:rsid w:val="00C811A3"/>
    <w:rsid w:val="00C82660"/>
    <w:rsid w:val="00C962AD"/>
    <w:rsid w:val="00CA2251"/>
    <w:rsid w:val="00CB17EA"/>
    <w:rsid w:val="00CB65FD"/>
    <w:rsid w:val="00CE3210"/>
    <w:rsid w:val="00CF3A01"/>
    <w:rsid w:val="00CF3D8A"/>
    <w:rsid w:val="00D05987"/>
    <w:rsid w:val="00D12770"/>
    <w:rsid w:val="00D25B6E"/>
    <w:rsid w:val="00D30E03"/>
    <w:rsid w:val="00D42B1A"/>
    <w:rsid w:val="00D4519B"/>
    <w:rsid w:val="00D47B4F"/>
    <w:rsid w:val="00D53598"/>
    <w:rsid w:val="00D5603F"/>
    <w:rsid w:val="00D83D64"/>
    <w:rsid w:val="00D84DA3"/>
    <w:rsid w:val="00D90DA8"/>
    <w:rsid w:val="00D94F7F"/>
    <w:rsid w:val="00D950F4"/>
    <w:rsid w:val="00DA0451"/>
    <w:rsid w:val="00DB12A7"/>
    <w:rsid w:val="00DB5FFA"/>
    <w:rsid w:val="00DD165A"/>
    <w:rsid w:val="00DD4871"/>
    <w:rsid w:val="00DD6792"/>
    <w:rsid w:val="00DE022D"/>
    <w:rsid w:val="00E00969"/>
    <w:rsid w:val="00E22661"/>
    <w:rsid w:val="00E23245"/>
    <w:rsid w:val="00E31456"/>
    <w:rsid w:val="00E331C1"/>
    <w:rsid w:val="00E334B5"/>
    <w:rsid w:val="00E44DCB"/>
    <w:rsid w:val="00E4688E"/>
    <w:rsid w:val="00E56679"/>
    <w:rsid w:val="00E67456"/>
    <w:rsid w:val="00E71EBB"/>
    <w:rsid w:val="00E752E5"/>
    <w:rsid w:val="00E82A19"/>
    <w:rsid w:val="00E8304E"/>
    <w:rsid w:val="00E943BB"/>
    <w:rsid w:val="00EA11B5"/>
    <w:rsid w:val="00EA569A"/>
    <w:rsid w:val="00EA5B51"/>
    <w:rsid w:val="00EA717D"/>
    <w:rsid w:val="00EA7E05"/>
    <w:rsid w:val="00EB045E"/>
    <w:rsid w:val="00EB0BB3"/>
    <w:rsid w:val="00EB2BE6"/>
    <w:rsid w:val="00EB2DF2"/>
    <w:rsid w:val="00EC1405"/>
    <w:rsid w:val="00EC472C"/>
    <w:rsid w:val="00EC75B3"/>
    <w:rsid w:val="00ED53F0"/>
    <w:rsid w:val="00EE1920"/>
    <w:rsid w:val="00EE677A"/>
    <w:rsid w:val="00F00FD5"/>
    <w:rsid w:val="00F0251C"/>
    <w:rsid w:val="00F069DE"/>
    <w:rsid w:val="00F0708E"/>
    <w:rsid w:val="00F170E8"/>
    <w:rsid w:val="00F223B7"/>
    <w:rsid w:val="00F32D18"/>
    <w:rsid w:val="00F42779"/>
    <w:rsid w:val="00F501E3"/>
    <w:rsid w:val="00F63C76"/>
    <w:rsid w:val="00F74FBF"/>
    <w:rsid w:val="00F83E78"/>
    <w:rsid w:val="00F90255"/>
    <w:rsid w:val="00F91A02"/>
    <w:rsid w:val="00F9398F"/>
    <w:rsid w:val="00FA52A8"/>
    <w:rsid w:val="00FA700E"/>
    <w:rsid w:val="00FB0D29"/>
    <w:rsid w:val="00FB4E59"/>
    <w:rsid w:val="00FB7F07"/>
    <w:rsid w:val="00FC06BF"/>
    <w:rsid w:val="00FC31B3"/>
    <w:rsid w:val="00FC48DE"/>
    <w:rsid w:val="00FC4E0D"/>
    <w:rsid w:val="00FC7A71"/>
    <w:rsid w:val="00FD1EC7"/>
    <w:rsid w:val="00FD4066"/>
    <w:rsid w:val="00FF5E92"/>
    <w:rsid w:val="0CC751EE"/>
    <w:rsid w:val="1164E3A3"/>
    <w:rsid w:val="1D1C02F7"/>
    <w:rsid w:val="29F6B57D"/>
    <w:rsid w:val="2CD62766"/>
    <w:rsid w:val="5305D027"/>
    <w:rsid w:val="6411DD7D"/>
    <w:rsid w:val="6CBC285D"/>
    <w:rsid w:val="71A85BB5"/>
    <w:rsid w:val="73E1F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8F82A"/>
  <w15:docId w15:val="{B1A228D2-C0B6-4D7E-AB76-7175BF2A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8E2"/>
    <w:pPr>
      <w:spacing w:after="280" w:line="320" w:lineRule="exact"/>
    </w:pPr>
    <w:rPr>
      <w:rFonts w:ascii="Tahoma" w:hAnsi="Tahoma"/>
      <w:color w:val="000000"/>
      <w:sz w:val="24"/>
      <w:szCs w:val="24"/>
      <w:lang w:eastAsia="en-US"/>
    </w:rPr>
  </w:style>
  <w:style w:type="paragraph" w:styleId="Heading1">
    <w:name w:val="heading 1"/>
    <w:basedOn w:val="Normal"/>
    <w:next w:val="Normal"/>
    <w:link w:val="Heading1Char"/>
    <w:qFormat/>
    <w:rsid w:val="003928E2"/>
    <w:pPr>
      <w:keepNext/>
      <w:spacing w:after="200" w:line="500" w:lineRule="exact"/>
      <w:outlineLvl w:val="0"/>
    </w:pPr>
    <w:rPr>
      <w:rFonts w:cs="Arial"/>
      <w:b/>
      <w:bCs/>
      <w:color w:val="30A5BE"/>
      <w:kern w:val="32"/>
      <w:sz w:val="40"/>
      <w:szCs w:val="32"/>
    </w:rPr>
  </w:style>
  <w:style w:type="paragraph" w:styleId="Heading2">
    <w:name w:val="heading 2"/>
    <w:basedOn w:val="Heading1"/>
    <w:next w:val="Normal"/>
    <w:link w:val="Heading2Char"/>
    <w:qFormat/>
    <w:rsid w:val="003928E2"/>
    <w:pPr>
      <w:spacing w:before="500" w:after="100" w:line="400" w:lineRule="exact"/>
      <w:outlineLvl w:val="1"/>
    </w:pPr>
    <w:rPr>
      <w:iCs/>
      <w:color w:val="00377B"/>
      <w:sz w:val="32"/>
      <w:szCs w:val="28"/>
    </w:rPr>
  </w:style>
  <w:style w:type="paragraph" w:styleId="Heading3">
    <w:name w:val="heading 3"/>
    <w:basedOn w:val="Normal"/>
    <w:next w:val="Normal"/>
    <w:link w:val="Heading3Char"/>
    <w:qFormat/>
    <w:rsid w:val="003928E2"/>
    <w:pPr>
      <w:keepNext/>
      <w:spacing w:before="500" w:after="100"/>
      <w:outlineLvl w:val="2"/>
    </w:pPr>
    <w:rPr>
      <w:rFonts w:cs="Arial"/>
      <w:b/>
      <w:bCs/>
      <w:iCs/>
      <w:color w:val="auto"/>
      <w:szCs w:val="26"/>
    </w:rPr>
  </w:style>
  <w:style w:type="paragraph" w:styleId="Heading4">
    <w:name w:val="heading 4"/>
    <w:basedOn w:val="Normal"/>
    <w:next w:val="Normal"/>
    <w:link w:val="Heading4Char"/>
    <w:qFormat/>
    <w:rsid w:val="003928E2"/>
    <w:pPr>
      <w:keepNext/>
      <w:spacing w:before="500" w:after="100"/>
      <w:outlineLvl w:val="3"/>
    </w:pPr>
    <w:rPr>
      <w:bCs/>
      <w:i/>
      <w:szCs w:val="28"/>
    </w:rPr>
  </w:style>
  <w:style w:type="paragraph" w:styleId="Heading5">
    <w:name w:val="heading 5"/>
    <w:basedOn w:val="Normal"/>
    <w:next w:val="Normal"/>
    <w:qFormat/>
    <w:rsid w:val="003928E2"/>
    <w:pPr>
      <w:spacing w:before="500" w:after="100"/>
      <w:outlineLvl w:val="4"/>
    </w:pPr>
    <w:rPr>
      <w:bCs/>
      <w:iCs/>
      <w:color w:val="30A5BE"/>
      <w:szCs w:val="26"/>
    </w:rPr>
  </w:style>
  <w:style w:type="paragraph" w:styleId="Heading6">
    <w:name w:val="heading 6"/>
    <w:basedOn w:val="Normal"/>
    <w:next w:val="Normal"/>
    <w:link w:val="Heading6Char"/>
    <w:semiHidden/>
    <w:unhideWhenUsed/>
    <w:qFormat/>
    <w:rsid w:val="003928E2"/>
    <w:pPr>
      <w:keepNext/>
      <w:keepLines/>
      <w:spacing w:before="500" w:after="1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928E2"/>
    <w:pPr>
      <w:keepNext/>
      <w:keepLines/>
      <w:spacing w:before="3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28E2"/>
    <w:pPr>
      <w:keepNext/>
      <w:keepLines/>
      <w:spacing w:before="3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928E2"/>
    <w:pPr>
      <w:keepNext/>
      <w:keepLines/>
      <w:spacing w:before="3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8E2"/>
    <w:pPr>
      <w:tabs>
        <w:tab w:val="center" w:pos="4320"/>
        <w:tab w:val="right" w:pos="8640"/>
      </w:tabs>
    </w:pPr>
  </w:style>
  <w:style w:type="paragraph" w:styleId="Footer">
    <w:name w:val="footer"/>
    <w:basedOn w:val="Normal"/>
    <w:rsid w:val="003928E2"/>
    <w:pPr>
      <w:tabs>
        <w:tab w:val="center" w:pos="4320"/>
        <w:tab w:val="right" w:pos="8640"/>
      </w:tabs>
      <w:spacing w:after="160"/>
    </w:pPr>
    <w:rPr>
      <w:sz w:val="18"/>
    </w:rPr>
  </w:style>
  <w:style w:type="paragraph" w:customStyle="1" w:styleId="GMCNormalBold">
    <w:name w:val="GMC Normal Bold"/>
    <w:basedOn w:val="Normal"/>
    <w:rsid w:val="003928E2"/>
    <w:rPr>
      <w:b/>
    </w:rPr>
  </w:style>
  <w:style w:type="paragraph" w:styleId="Caption">
    <w:name w:val="caption"/>
    <w:basedOn w:val="Normal"/>
    <w:next w:val="Normal"/>
    <w:qFormat/>
    <w:rsid w:val="003928E2"/>
    <w:rPr>
      <w:b/>
      <w:bCs/>
      <w:i/>
      <w:szCs w:val="20"/>
    </w:rPr>
  </w:style>
  <w:style w:type="paragraph" w:styleId="ListNumber">
    <w:name w:val="List Number"/>
    <w:basedOn w:val="Normal"/>
    <w:rsid w:val="003928E2"/>
  </w:style>
  <w:style w:type="paragraph" w:styleId="ListBullet">
    <w:name w:val="List Bullet"/>
    <w:basedOn w:val="Normal"/>
    <w:rsid w:val="003928E2"/>
    <w:pPr>
      <w:numPr>
        <w:numId w:val="6"/>
      </w:numPr>
    </w:pPr>
  </w:style>
  <w:style w:type="paragraph" w:customStyle="1" w:styleId="GMCNormalItalic">
    <w:name w:val="GMC Normal Italic"/>
    <w:basedOn w:val="Normal"/>
    <w:rsid w:val="003928E2"/>
    <w:rPr>
      <w:bCs/>
      <w:i/>
    </w:rPr>
  </w:style>
  <w:style w:type="character" w:styleId="PageNumber">
    <w:name w:val="page number"/>
    <w:basedOn w:val="DefaultParagraphFont"/>
    <w:rsid w:val="003928E2"/>
    <w:rPr>
      <w:sz w:val="18"/>
    </w:rPr>
  </w:style>
  <w:style w:type="paragraph" w:styleId="ListNumber2">
    <w:name w:val="List Number 2"/>
    <w:basedOn w:val="Normal"/>
    <w:rsid w:val="003928E2"/>
    <w:pPr>
      <w:numPr>
        <w:ilvl w:val="1"/>
        <w:numId w:val="7"/>
      </w:numPr>
      <w:tabs>
        <w:tab w:val="left" w:pos="1361"/>
      </w:tabs>
    </w:pPr>
  </w:style>
  <w:style w:type="paragraph" w:styleId="ListNumber3">
    <w:name w:val="List Number 3"/>
    <w:basedOn w:val="Normal"/>
    <w:rsid w:val="003928E2"/>
    <w:pPr>
      <w:numPr>
        <w:ilvl w:val="2"/>
        <w:numId w:val="7"/>
      </w:numPr>
    </w:pPr>
  </w:style>
  <w:style w:type="paragraph" w:customStyle="1" w:styleId="GMCNormalRight">
    <w:name w:val="GMC Normal Right"/>
    <w:basedOn w:val="Normal"/>
    <w:rsid w:val="003928E2"/>
    <w:pPr>
      <w:jc w:val="right"/>
    </w:pPr>
  </w:style>
  <w:style w:type="paragraph" w:customStyle="1" w:styleId="GMCNumberheadingstyle">
    <w:name w:val="GMC Number heading style"/>
    <w:basedOn w:val="Normal"/>
    <w:next w:val="Normal"/>
    <w:rsid w:val="003928E2"/>
    <w:pPr>
      <w:jc w:val="right"/>
    </w:pPr>
    <w:rPr>
      <w:b/>
      <w:bCs/>
      <w:sz w:val="44"/>
    </w:rPr>
  </w:style>
  <w:style w:type="paragraph" w:customStyle="1" w:styleId="GMCNumbertext">
    <w:name w:val="GMC Number text"/>
    <w:basedOn w:val="Normal"/>
    <w:link w:val="GMCNumbertextChar"/>
    <w:rsid w:val="003928E2"/>
    <w:pPr>
      <w:numPr>
        <w:numId w:val="4"/>
      </w:numPr>
    </w:pPr>
  </w:style>
  <w:style w:type="paragraph" w:customStyle="1" w:styleId="GMCA-Ztext">
    <w:name w:val="GMC A-Z text"/>
    <w:basedOn w:val="Normal"/>
    <w:rsid w:val="003928E2"/>
    <w:pPr>
      <w:numPr>
        <w:numId w:val="9"/>
      </w:numPr>
    </w:pPr>
  </w:style>
  <w:style w:type="paragraph" w:customStyle="1" w:styleId="GMCRomantext">
    <w:name w:val="GMC Roman text"/>
    <w:basedOn w:val="Normal"/>
    <w:rsid w:val="003928E2"/>
    <w:pPr>
      <w:numPr>
        <w:numId w:val="5"/>
      </w:numPr>
    </w:pPr>
  </w:style>
  <w:style w:type="paragraph" w:customStyle="1" w:styleId="GMCNormalindented">
    <w:name w:val="GMC Normal indented"/>
    <w:basedOn w:val="GMCNumbertext"/>
    <w:rsid w:val="003928E2"/>
    <w:pPr>
      <w:numPr>
        <w:numId w:val="0"/>
      </w:numPr>
      <w:ind w:left="709"/>
    </w:pPr>
  </w:style>
  <w:style w:type="paragraph" w:styleId="Title">
    <w:name w:val="Title"/>
    <w:basedOn w:val="Normal"/>
    <w:next w:val="Normal"/>
    <w:qFormat/>
    <w:rsid w:val="003928E2"/>
    <w:pPr>
      <w:tabs>
        <w:tab w:val="left" w:pos="1418"/>
      </w:tabs>
      <w:spacing w:line="320" w:lineRule="atLeast"/>
      <w:outlineLvl w:val="0"/>
    </w:pPr>
    <w:rPr>
      <w:rFonts w:cs="Arial"/>
      <w:b/>
      <w:bCs/>
      <w:kern w:val="28"/>
      <w:szCs w:val="32"/>
    </w:rPr>
  </w:style>
  <w:style w:type="table" w:styleId="TableGrid">
    <w:name w:val="Table Grid"/>
    <w:basedOn w:val="TableNormal"/>
    <w:rsid w:val="003928E2"/>
    <w:pPr>
      <w:tabs>
        <w:tab w:val="left" w:pos="3402"/>
        <w:tab w:val="left" w:pos="5670"/>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928E2"/>
    <w:rPr>
      <w:sz w:val="16"/>
      <w:szCs w:val="16"/>
    </w:rPr>
  </w:style>
  <w:style w:type="paragraph" w:styleId="CommentText">
    <w:name w:val="annotation text"/>
    <w:basedOn w:val="Normal"/>
    <w:link w:val="CommentTextChar"/>
    <w:uiPriority w:val="99"/>
    <w:rsid w:val="003928E2"/>
    <w:rPr>
      <w:sz w:val="20"/>
      <w:szCs w:val="20"/>
    </w:rPr>
  </w:style>
  <w:style w:type="paragraph" w:styleId="CommentSubject">
    <w:name w:val="annotation subject"/>
    <w:basedOn w:val="CommentText"/>
    <w:next w:val="CommentText"/>
    <w:semiHidden/>
    <w:rsid w:val="003928E2"/>
    <w:rPr>
      <w:b/>
      <w:bCs/>
    </w:rPr>
  </w:style>
  <w:style w:type="paragraph" w:styleId="BalloonText">
    <w:name w:val="Balloon Text"/>
    <w:basedOn w:val="Normal"/>
    <w:semiHidden/>
    <w:rsid w:val="003928E2"/>
    <w:rPr>
      <w:rFonts w:cs="Tahoma"/>
      <w:sz w:val="16"/>
      <w:szCs w:val="16"/>
    </w:rPr>
  </w:style>
  <w:style w:type="paragraph" w:styleId="ListBullet2">
    <w:name w:val="List Bullet 2"/>
    <w:basedOn w:val="Normal"/>
    <w:rsid w:val="003928E2"/>
    <w:pPr>
      <w:numPr>
        <w:ilvl w:val="1"/>
        <w:numId w:val="6"/>
      </w:numPr>
      <w:tabs>
        <w:tab w:val="num" w:pos="360"/>
      </w:tabs>
      <w:ind w:left="0" w:firstLine="0"/>
    </w:pPr>
  </w:style>
  <w:style w:type="paragraph" w:styleId="ListBullet3">
    <w:name w:val="List Bullet 3"/>
    <w:basedOn w:val="Normal"/>
    <w:rsid w:val="003928E2"/>
    <w:pPr>
      <w:numPr>
        <w:ilvl w:val="2"/>
        <w:numId w:val="6"/>
      </w:numPr>
      <w:tabs>
        <w:tab w:val="num" w:pos="360"/>
      </w:tabs>
      <w:ind w:left="0" w:firstLine="0"/>
    </w:pPr>
  </w:style>
  <w:style w:type="paragraph" w:styleId="ListBullet4">
    <w:name w:val="List Bullet 4"/>
    <w:basedOn w:val="Normal"/>
    <w:rsid w:val="003928E2"/>
    <w:pPr>
      <w:numPr>
        <w:ilvl w:val="3"/>
        <w:numId w:val="6"/>
      </w:numPr>
      <w:tabs>
        <w:tab w:val="num" w:pos="360"/>
      </w:tabs>
      <w:ind w:left="0" w:firstLine="0"/>
    </w:pPr>
  </w:style>
  <w:style w:type="paragraph" w:styleId="ListBullet5">
    <w:name w:val="List Bullet 5"/>
    <w:basedOn w:val="Normal"/>
    <w:rsid w:val="003928E2"/>
    <w:pPr>
      <w:numPr>
        <w:ilvl w:val="4"/>
        <w:numId w:val="6"/>
      </w:numPr>
      <w:tabs>
        <w:tab w:val="num" w:pos="360"/>
      </w:tabs>
      <w:ind w:left="0" w:firstLine="0"/>
    </w:pPr>
  </w:style>
  <w:style w:type="paragraph" w:styleId="FootnoteText">
    <w:name w:val="footnote text"/>
    <w:basedOn w:val="Normal"/>
    <w:link w:val="FootnoteTextChar"/>
    <w:rsid w:val="00270153"/>
    <w:pPr>
      <w:spacing w:after="0" w:line="280" w:lineRule="atLeast"/>
    </w:pPr>
    <w:rPr>
      <w:sz w:val="20"/>
      <w:szCs w:val="20"/>
    </w:rPr>
  </w:style>
  <w:style w:type="character" w:customStyle="1" w:styleId="FootnoteTextChar">
    <w:name w:val="Footnote Text Char"/>
    <w:basedOn w:val="DefaultParagraphFont"/>
    <w:link w:val="FootnoteText"/>
    <w:rsid w:val="00270153"/>
    <w:rPr>
      <w:rFonts w:ascii="Tahoma" w:hAnsi="Tahoma"/>
      <w:color w:val="000000"/>
      <w:lang w:eastAsia="en-US"/>
    </w:rPr>
  </w:style>
  <w:style w:type="character" w:styleId="FootnoteReference">
    <w:name w:val="footnote reference"/>
    <w:basedOn w:val="DefaultParagraphFont"/>
    <w:rsid w:val="003928E2"/>
    <w:rPr>
      <w:vertAlign w:val="superscript"/>
    </w:rPr>
  </w:style>
  <w:style w:type="character" w:styleId="Hyperlink">
    <w:name w:val="Hyperlink"/>
    <w:basedOn w:val="DefaultParagraphFont"/>
    <w:uiPriority w:val="99"/>
    <w:rsid w:val="003928E2"/>
    <w:rPr>
      <w:color w:val="0000FF"/>
      <w:u w:val="single"/>
    </w:rPr>
  </w:style>
  <w:style w:type="character" w:styleId="FollowedHyperlink">
    <w:name w:val="FollowedHyperlink"/>
    <w:basedOn w:val="DefaultParagraphFont"/>
    <w:rsid w:val="003928E2"/>
    <w:rPr>
      <w:color w:val="800080" w:themeColor="followedHyperlink"/>
      <w:u w:val="single"/>
    </w:rPr>
  </w:style>
  <w:style w:type="character" w:styleId="EndnoteReference">
    <w:name w:val="endnote reference"/>
    <w:basedOn w:val="DefaultParagraphFont"/>
    <w:rsid w:val="003928E2"/>
    <w:rPr>
      <w:vertAlign w:val="superscript"/>
    </w:rPr>
  </w:style>
  <w:style w:type="paragraph" w:styleId="EndnoteText">
    <w:name w:val="endnote text"/>
    <w:basedOn w:val="Normal"/>
    <w:link w:val="EndnoteTextChar"/>
    <w:rsid w:val="003928E2"/>
    <w:pPr>
      <w:spacing w:after="0" w:line="240" w:lineRule="auto"/>
    </w:pPr>
    <w:rPr>
      <w:sz w:val="20"/>
      <w:szCs w:val="20"/>
    </w:rPr>
  </w:style>
  <w:style w:type="character" w:customStyle="1" w:styleId="EndnoteTextChar">
    <w:name w:val="Endnote Text Char"/>
    <w:basedOn w:val="DefaultParagraphFont"/>
    <w:link w:val="EndnoteText"/>
    <w:rsid w:val="003928E2"/>
    <w:rPr>
      <w:rFonts w:ascii="Tahoma" w:hAnsi="Tahoma"/>
      <w:color w:val="000000"/>
      <w:lang w:eastAsia="en-US"/>
    </w:rPr>
  </w:style>
  <w:style w:type="character" w:customStyle="1" w:styleId="Heading6Char">
    <w:name w:val="Heading 6 Char"/>
    <w:basedOn w:val="DefaultParagraphFont"/>
    <w:link w:val="Heading6"/>
    <w:semiHidden/>
    <w:rsid w:val="003928E2"/>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3928E2"/>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3928E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928E2"/>
    <w:rPr>
      <w:rFonts w:asciiTheme="majorHAnsi" w:eastAsiaTheme="majorEastAsia" w:hAnsiTheme="majorHAnsi" w:cstheme="majorBidi"/>
      <w:i/>
      <w:iCs/>
      <w:color w:val="404040" w:themeColor="text1" w:themeTint="BF"/>
      <w:lang w:eastAsia="en-US"/>
    </w:rPr>
  </w:style>
  <w:style w:type="paragraph" w:styleId="ListContinue5">
    <w:name w:val="List Continue 5"/>
    <w:basedOn w:val="Normal"/>
    <w:rsid w:val="003928E2"/>
    <w:pPr>
      <w:spacing w:after="120"/>
      <w:ind w:left="1418"/>
      <w:contextualSpacing/>
    </w:pPr>
  </w:style>
  <w:style w:type="character" w:customStyle="1" w:styleId="Heading1Char">
    <w:name w:val="Heading 1 Char"/>
    <w:basedOn w:val="DefaultParagraphFont"/>
    <w:link w:val="Heading1"/>
    <w:rsid w:val="005F70ED"/>
    <w:rPr>
      <w:rFonts w:ascii="Tahoma" w:hAnsi="Tahoma" w:cs="Arial"/>
      <w:b/>
      <w:bCs/>
      <w:color w:val="30A5BE"/>
      <w:kern w:val="32"/>
      <w:sz w:val="40"/>
      <w:szCs w:val="32"/>
      <w:lang w:eastAsia="en-US"/>
    </w:rPr>
  </w:style>
  <w:style w:type="character" w:customStyle="1" w:styleId="Heading2Char">
    <w:name w:val="Heading 2 Char"/>
    <w:basedOn w:val="DefaultParagraphFont"/>
    <w:link w:val="Heading2"/>
    <w:rsid w:val="005F70ED"/>
    <w:rPr>
      <w:rFonts w:ascii="Tahoma" w:hAnsi="Tahoma" w:cs="Arial"/>
      <w:b/>
      <w:bCs/>
      <w:iCs/>
      <w:color w:val="00377B"/>
      <w:kern w:val="32"/>
      <w:sz w:val="32"/>
      <w:szCs w:val="28"/>
      <w:lang w:eastAsia="en-US"/>
    </w:rPr>
  </w:style>
  <w:style w:type="character" w:customStyle="1" w:styleId="Heading3Char">
    <w:name w:val="Heading 3 Char"/>
    <w:basedOn w:val="DefaultParagraphFont"/>
    <w:link w:val="Heading3"/>
    <w:rsid w:val="005F70ED"/>
    <w:rPr>
      <w:rFonts w:ascii="Tahoma" w:hAnsi="Tahoma" w:cs="Arial"/>
      <w:b/>
      <w:bCs/>
      <w:iCs/>
      <w:sz w:val="24"/>
      <w:szCs w:val="26"/>
      <w:lang w:eastAsia="en-US"/>
    </w:rPr>
  </w:style>
  <w:style w:type="character" w:customStyle="1" w:styleId="CommentTextChar">
    <w:name w:val="Comment Text Char"/>
    <w:basedOn w:val="DefaultParagraphFont"/>
    <w:link w:val="CommentText"/>
    <w:uiPriority w:val="99"/>
    <w:rsid w:val="005F70ED"/>
    <w:rPr>
      <w:rFonts w:ascii="Tahoma" w:hAnsi="Tahoma"/>
      <w:color w:val="000000"/>
      <w:lang w:eastAsia="en-US"/>
    </w:rPr>
  </w:style>
  <w:style w:type="paragraph" w:styleId="ListParagraph">
    <w:name w:val="List Paragraph"/>
    <w:basedOn w:val="Normal"/>
    <w:uiPriority w:val="34"/>
    <w:qFormat/>
    <w:rsid w:val="005F70ED"/>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GMCNumbertextChar">
    <w:name w:val="GMC Number text Char"/>
    <w:link w:val="GMCNumbertext"/>
    <w:rsid w:val="005F70ED"/>
    <w:rPr>
      <w:rFonts w:ascii="Tahoma" w:hAnsi="Tahoma"/>
      <w:color w:val="000000"/>
      <w:sz w:val="24"/>
      <w:szCs w:val="24"/>
      <w:lang w:eastAsia="en-US"/>
    </w:rPr>
  </w:style>
  <w:style w:type="character" w:customStyle="1" w:styleId="Heading4Char">
    <w:name w:val="Heading 4 Char"/>
    <w:basedOn w:val="DefaultParagraphFont"/>
    <w:link w:val="Heading4"/>
    <w:rsid w:val="006A7F97"/>
    <w:rPr>
      <w:rFonts w:ascii="Tahoma" w:hAnsi="Tahoma"/>
      <w:bCs/>
      <w:i/>
      <w:color w:val="000000"/>
      <w:sz w:val="24"/>
      <w:szCs w:val="28"/>
      <w:lang w:eastAsia="en-US"/>
    </w:rPr>
  </w:style>
  <w:style w:type="paragraph" w:customStyle="1" w:styleId="Default">
    <w:name w:val="Default"/>
    <w:rsid w:val="006A7F97"/>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E22661"/>
    <w:rPr>
      <w:color w:val="605E5C"/>
      <w:shd w:val="clear" w:color="auto" w:fill="E1DFDD"/>
    </w:rPr>
  </w:style>
  <w:style w:type="character" w:styleId="PlaceholderText">
    <w:name w:val="Placeholder Text"/>
    <w:basedOn w:val="DefaultParagraphFont"/>
    <w:uiPriority w:val="99"/>
    <w:semiHidden/>
    <w:rsid w:val="007605B6"/>
    <w:rPr>
      <w:color w:val="808080"/>
    </w:rPr>
  </w:style>
  <w:style w:type="character" w:styleId="Emphasis">
    <w:name w:val="Emphasis"/>
    <w:basedOn w:val="DefaultParagraphFont"/>
    <w:qFormat/>
    <w:rsid w:val="00C32C96"/>
    <w:rPr>
      <w:i/>
      <w:iCs/>
    </w:rPr>
  </w:style>
  <w:style w:type="paragraph" w:styleId="Revision">
    <w:name w:val="Revision"/>
    <w:hidden/>
    <w:uiPriority w:val="99"/>
    <w:semiHidden/>
    <w:rsid w:val="00866790"/>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ssionalstandards@gmc-uk.org" TargetMode="External"/><Relationship Id="rId13" Type="http://schemas.openxmlformats.org/officeDocument/2006/relationships/hyperlink" Target="https://www.professionalstandards.org.uk/publications/detail/ethics-in-extraordinary-times-practitioner-experiences-during-the-pandemic" TargetMode="External"/><Relationship Id="rId18" Type="http://schemas.openxmlformats.org/officeDocument/2006/relationships/hyperlink" Target="https://www.gmc-uk.org/ethical-guidance/ethical-guidance-for-doctors/doctors-use-of-social-media" TargetMode="External"/><Relationship Id="rId26" Type="http://schemas.openxmlformats.org/officeDocument/2006/relationships/hyperlink" Target="https://www.gmc-uk.org/ethical-guidance/good-medical-practice-review/good-medical-practice-advisory-forum" TargetMode="External"/><Relationship Id="rId3" Type="http://schemas.openxmlformats.org/officeDocument/2006/relationships/styles" Target="styles.xml"/><Relationship Id="rId21" Type="http://schemas.openxmlformats.org/officeDocument/2006/relationships/hyperlink" Target="https://www.gmc-uk.org/ethical-guidance/ethical-guidance-for-doctors/maintaining-a-professional-boundary-between-you-and-your-patient/maintaining-a-professional-boundary-between-you-and-your-patie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mc-uk.org/ethical-guidance/good-medical-practice-review" TargetMode="External"/><Relationship Id="rId17" Type="http://schemas.openxmlformats.org/officeDocument/2006/relationships/hyperlink" Target="https://www.gmc-uk.org/ethical-guidance/ethical-guidance-for-doctors/financial-and-commercial-arrangements-and-conflicts-of-interest" TargetMode="External"/><Relationship Id="rId25" Type="http://schemas.openxmlformats.org/officeDocument/2006/relationships/hyperlink" Target="https://www.gmc-uk.org/ethical-guidance/ethical-guidance-for-doctors/writing-references/writing-referenc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mc-uk.org/ethical-guidance/ethical-guidance-for-doctors/personal-beliefs-and-medical-practice" TargetMode="External"/><Relationship Id="rId20" Type="http://schemas.openxmlformats.org/officeDocument/2006/relationships/hyperlink" Target="https://www.gmc-uk.org/ethical-guidance/ethical-guidance-for-doctors/intimate-examinations-and-chaperones/intimate-examinations-and-chaperon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survey.co.uk/s/RUZJCV/" TargetMode="External"/><Relationship Id="rId24" Type="http://schemas.openxmlformats.org/officeDocument/2006/relationships/hyperlink" Target="https://www.gmc-uk.org/ethical-guidance/ethical-guidance-for-doctors/acting-as-a-witness/acting-as-a-witness-in-legal-proceeding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mc-uk.org/ethical-guidance/ethical-guidance-for-pas-and-aas/advice-for-doctors-who-supervise-pas-and-aas" TargetMode="External"/><Relationship Id="rId23" Type="http://schemas.openxmlformats.org/officeDocument/2006/relationships/hyperlink" Target="https://www.gmc-uk.org/ethical-guidance/ethical-guidance-for-doctors/delegation-and-referral/delegation-and-referral" TargetMode="External"/><Relationship Id="rId28" Type="http://schemas.openxmlformats.org/officeDocument/2006/relationships/hyperlink" Target="https://www.gmc-uk.org/about/how-we-work/equality-and-diversity" TargetMode="External"/><Relationship Id="rId36" Type="http://schemas.openxmlformats.org/officeDocument/2006/relationships/theme" Target="theme/theme1.xml"/><Relationship Id="rId10" Type="http://schemas.openxmlformats.org/officeDocument/2006/relationships/hyperlink" Target="https://www.smartsurvey.co.uk/s/PUF0RL/" TargetMode="External"/><Relationship Id="rId19" Type="http://schemas.openxmlformats.org/officeDocument/2006/relationships/hyperlink" Target="https://www.gmc-uk.org/ethical-guidance/ethical-guidance-for-doctors/ending-your-professional-relationship-with-a-patient/ending-your-professional-relationship-with-a-patie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cations@gmc-uk.org" TargetMode="External"/><Relationship Id="rId14" Type="http://schemas.openxmlformats.org/officeDocument/2006/relationships/hyperlink" Target="https://www.gmc-uk.org/ethical-guidance/ethical-guidance-for-doctors/leadership-and-management-for-all-doctors" TargetMode="External"/><Relationship Id="rId22" Type="http://schemas.openxmlformats.org/officeDocument/2006/relationships/hyperlink" Target="https://www.gmc-uk.org/ethical-guidance/ethical-guidance-for-doctors/sexual-behaviour-and-your-duty-to-report-colleagues" TargetMode="External"/><Relationship Id="rId27" Type="http://schemas.openxmlformats.org/officeDocument/2006/relationships/hyperlink" Target="http://www.gmc-uk.org/privacy_policy.asp"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gmc-uk.org/ethical-guidance/ethical-guidance-for-pas-and-aas/advice-for-doctors-who-supervise-pas-and-aas" TargetMode="External"/><Relationship Id="rId2" Type="http://schemas.openxmlformats.org/officeDocument/2006/relationships/hyperlink" Target="https://www.professionalstandards.org.uk/publications/detail/sexual-behaviours-between-health-and-care-practitioners-where-does-the-boundary-lie" TargetMode="External"/><Relationship Id="rId1" Type="http://schemas.openxmlformats.org/officeDocument/2006/relationships/hyperlink" Target="http://www.equalityni.org/Legisl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D20-51F0-492F-8CDD-FD04A999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12058</Words>
  <Characters>67685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GMC Council 180107</vt:lpstr>
    </vt:vector>
  </TitlesOfParts>
  <Company>GMC</Company>
  <LinksUpToDate>false</LinksUpToDate>
  <CharactersWithSpaces>79584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 Council 180107</dc:title>
  <dc:creator>Farkhanda Maqbool (0207 189 5416)</dc:creator>
  <dc:description>Developed by Operandi Limited.</dc:description>
  <cp:lastModifiedBy>Ben Cottam</cp:lastModifiedBy>
  <cp:revision>2</cp:revision>
  <cp:lastPrinted>2022-06-22T16:33:00Z</cp:lastPrinted>
  <dcterms:created xsi:type="dcterms:W3CDTF">2022-07-20T16:37:00Z</dcterms:created>
  <dcterms:modified xsi:type="dcterms:W3CDTF">2022-07-20T16:37:00Z</dcterms:modified>
</cp:coreProperties>
</file>