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1B12D" w14:textId="25D6C81C" w:rsidR="00124CC5" w:rsidRPr="006D5298" w:rsidRDefault="00B31660" w:rsidP="00124CC5">
      <w:pPr>
        <w:pStyle w:val="Default"/>
        <w:pageBreakBefore/>
        <w:rPr>
          <w:rFonts w:ascii="Times New Roman" w:hAnsi="Times New Roman" w:cs="Times New Roman"/>
          <w:b/>
          <w:bCs/>
          <w:color w:val="auto"/>
          <w:sz w:val="23"/>
          <w:szCs w:val="23"/>
        </w:rPr>
      </w:pPr>
      <w:r>
        <w:rPr>
          <w:rFonts w:ascii="Times New Roman" w:hAnsi="Times New Roman" w:cs="Times New Roman"/>
          <w:b/>
          <w:bCs/>
          <w:color w:val="auto"/>
          <w:sz w:val="23"/>
          <w:szCs w:val="23"/>
        </w:rPr>
        <w:t xml:space="preserve">House of Lords </w:t>
      </w:r>
      <w:r w:rsidR="00124CC5" w:rsidRPr="006D5298">
        <w:rPr>
          <w:rFonts w:ascii="Times New Roman" w:hAnsi="Times New Roman" w:cs="Times New Roman"/>
          <w:b/>
          <w:bCs/>
          <w:color w:val="auto"/>
          <w:sz w:val="23"/>
          <w:szCs w:val="23"/>
        </w:rPr>
        <w:t>Select Committee on Science and Technology Inquiry into Ageing: Science, Technology and Healthy Living</w:t>
      </w:r>
    </w:p>
    <w:p w14:paraId="73FEFFE3" w14:textId="6E3D3989" w:rsidR="00124CC5" w:rsidRPr="006D5298" w:rsidRDefault="00124CC5" w:rsidP="00124CC5">
      <w:pPr>
        <w:pStyle w:val="Default"/>
        <w:rPr>
          <w:rFonts w:ascii="Times New Roman" w:hAnsi="Times New Roman" w:cs="Times New Roman"/>
          <w:b/>
          <w:bCs/>
          <w:color w:val="auto"/>
          <w:sz w:val="23"/>
          <w:szCs w:val="23"/>
        </w:rPr>
      </w:pPr>
    </w:p>
    <w:p w14:paraId="3DD52BD0" w14:textId="5F3125C3" w:rsidR="00124CC5" w:rsidRPr="006D5298" w:rsidRDefault="00124CC5" w:rsidP="00124CC5">
      <w:pPr>
        <w:pStyle w:val="Default"/>
        <w:rPr>
          <w:rFonts w:ascii="Times New Roman" w:hAnsi="Times New Roman" w:cs="Times New Roman"/>
          <w:b/>
          <w:bCs/>
          <w:color w:val="auto"/>
          <w:sz w:val="23"/>
          <w:szCs w:val="23"/>
        </w:rPr>
      </w:pPr>
      <w:r w:rsidRPr="006D5298">
        <w:rPr>
          <w:rFonts w:ascii="Times New Roman" w:hAnsi="Times New Roman" w:cs="Times New Roman"/>
          <w:b/>
          <w:bCs/>
          <w:color w:val="auto"/>
          <w:sz w:val="23"/>
          <w:szCs w:val="23"/>
        </w:rPr>
        <w:t>Faculty of Pharmaceutical Medicine</w:t>
      </w:r>
    </w:p>
    <w:p w14:paraId="4D603C89" w14:textId="3C3ED580" w:rsidR="00124CC5" w:rsidRPr="006D5298" w:rsidRDefault="00124CC5" w:rsidP="00124CC5">
      <w:pPr>
        <w:pStyle w:val="Default"/>
        <w:rPr>
          <w:rFonts w:ascii="Times New Roman" w:hAnsi="Times New Roman" w:cs="Times New Roman"/>
          <w:color w:val="auto"/>
          <w:sz w:val="23"/>
          <w:szCs w:val="23"/>
        </w:rPr>
      </w:pPr>
      <w:r w:rsidRPr="006D5298">
        <w:rPr>
          <w:rFonts w:ascii="Times New Roman" w:hAnsi="Times New Roman" w:cs="Times New Roman"/>
          <w:color w:val="auto"/>
          <w:sz w:val="23"/>
          <w:szCs w:val="23"/>
        </w:rPr>
        <w:t>The Faculty of Pharmaceutical Medicine is a Faculty of the three Royal Colleges of Physicians of London, Glasgow and Edinburgh. Pharmaceutical medicine is a medical specialty concerned with the discovery, development, evaluation, licensing and monitoring of medicines and the medical aspects of their marketing. The FPM's members work in diverse environments; from front line clinical trials, to pharmaceutical marketing and medicines regulation. Our mission is to advance the science and practice of pharmaceutical medicine by working to develop and maintain competence, ethics and integrity and the highest professional standards in the specialty for the benefit of the public. The FPM seeks, through its activities, to bring about an improvement in the health of the public.</w:t>
      </w:r>
    </w:p>
    <w:p w14:paraId="63F44558" w14:textId="77777777" w:rsidR="00124CC5" w:rsidRPr="006D5298" w:rsidRDefault="00124CC5" w:rsidP="00124CC5">
      <w:pPr>
        <w:pStyle w:val="Default"/>
        <w:rPr>
          <w:rFonts w:ascii="Times New Roman" w:hAnsi="Times New Roman" w:cs="Times New Roman"/>
          <w:color w:val="auto"/>
          <w:sz w:val="23"/>
          <w:szCs w:val="23"/>
        </w:rPr>
      </w:pPr>
    </w:p>
    <w:p w14:paraId="4B09A8B7" w14:textId="77777777" w:rsidR="00124CC5" w:rsidRPr="006D5298" w:rsidRDefault="00124CC5" w:rsidP="00124CC5">
      <w:pPr>
        <w:pStyle w:val="Default"/>
        <w:rPr>
          <w:rFonts w:ascii="Times New Roman" w:hAnsi="Times New Roman" w:cs="Times New Roman"/>
          <w:b/>
          <w:bCs/>
          <w:color w:val="auto"/>
          <w:sz w:val="23"/>
          <w:szCs w:val="23"/>
        </w:rPr>
      </w:pPr>
      <w:r w:rsidRPr="006D5298">
        <w:rPr>
          <w:rFonts w:ascii="Times New Roman" w:hAnsi="Times New Roman" w:cs="Times New Roman"/>
          <w:b/>
          <w:bCs/>
          <w:color w:val="auto"/>
          <w:sz w:val="23"/>
          <w:szCs w:val="23"/>
        </w:rPr>
        <w:t xml:space="preserve">Questions: </w:t>
      </w:r>
    </w:p>
    <w:p w14:paraId="3CF3FD95" w14:textId="30638DAF" w:rsidR="00124CC5" w:rsidRDefault="00124CC5" w:rsidP="00124CC5">
      <w:pPr>
        <w:pStyle w:val="Default"/>
        <w:rPr>
          <w:rFonts w:ascii="Times New Roman" w:hAnsi="Times New Roman" w:cs="Times New Roman"/>
          <w:b/>
          <w:bCs/>
          <w:color w:val="auto"/>
          <w:sz w:val="23"/>
          <w:szCs w:val="23"/>
        </w:rPr>
      </w:pPr>
      <w:r w:rsidRPr="006D5298">
        <w:rPr>
          <w:rFonts w:ascii="Times New Roman" w:hAnsi="Times New Roman" w:cs="Times New Roman"/>
          <w:b/>
          <w:bCs/>
          <w:color w:val="auto"/>
          <w:sz w:val="23"/>
          <w:szCs w:val="23"/>
        </w:rPr>
        <w:t xml:space="preserve">Scientific basis </w:t>
      </w:r>
    </w:p>
    <w:p w14:paraId="50AEBF77" w14:textId="77777777" w:rsidR="00F1135E" w:rsidRDefault="00E90AB7" w:rsidP="00F1135E">
      <w:pPr>
        <w:pStyle w:val="Default"/>
        <w:spacing w:after="100" w:afterAutospacing="1"/>
        <w:rPr>
          <w:rFonts w:ascii="Times New Roman" w:hAnsi="Times New Roman" w:cs="Times New Roman"/>
          <w:color w:val="auto"/>
          <w:sz w:val="23"/>
          <w:szCs w:val="23"/>
        </w:rPr>
      </w:pPr>
      <w:r>
        <w:rPr>
          <w:rFonts w:ascii="Times New Roman" w:hAnsi="Times New Roman" w:cs="Times New Roman"/>
          <w:color w:val="auto"/>
          <w:sz w:val="23"/>
          <w:szCs w:val="23"/>
        </w:rPr>
        <w:t>1.</w:t>
      </w:r>
      <w:r w:rsidR="00124CC5" w:rsidRPr="006D5298">
        <w:rPr>
          <w:rFonts w:ascii="Times New Roman" w:hAnsi="Times New Roman" w:cs="Times New Roman"/>
          <w:color w:val="auto"/>
          <w:sz w:val="23"/>
          <w:szCs w:val="23"/>
        </w:rPr>
        <w:t xml:space="preserve">How complete is the scientific understanding of the biological processes of ageing and their epidemiologies (including the relative roles of genetics, epigenetics, lifestyle, environment, etc.)? </w:t>
      </w:r>
    </w:p>
    <w:p w14:paraId="300247DC" w14:textId="258A9625" w:rsidR="00124CC5" w:rsidRPr="006D5298" w:rsidRDefault="00AD4031" w:rsidP="00F1135E">
      <w:pPr>
        <w:pStyle w:val="Default"/>
        <w:spacing w:after="100" w:afterAutospacing="1"/>
        <w:rPr>
          <w:rFonts w:ascii="Times New Roman" w:hAnsi="Times New Roman" w:cs="Times New Roman"/>
          <w:color w:val="auto"/>
          <w:sz w:val="23"/>
          <w:szCs w:val="23"/>
        </w:rPr>
      </w:pPr>
      <w:r w:rsidRPr="00AD4031">
        <w:rPr>
          <w:rFonts w:ascii="Times New Roman" w:hAnsi="Times New Roman" w:cs="Times New Roman"/>
          <w:b/>
          <w:bCs/>
          <w:color w:val="auto"/>
          <w:sz w:val="23"/>
          <w:szCs w:val="23"/>
        </w:rPr>
        <w:t>FPM Response:</w:t>
      </w:r>
      <w:r>
        <w:rPr>
          <w:rFonts w:ascii="Times New Roman" w:hAnsi="Times New Roman" w:cs="Times New Roman"/>
          <w:color w:val="auto"/>
          <w:sz w:val="23"/>
          <w:szCs w:val="23"/>
        </w:rPr>
        <w:t xml:space="preserve"> </w:t>
      </w:r>
      <w:r w:rsidR="00124CC5" w:rsidRPr="006D5298">
        <w:rPr>
          <w:rFonts w:ascii="Times New Roman" w:hAnsi="Times New Roman" w:cs="Times New Roman"/>
          <w:color w:val="auto"/>
          <w:sz w:val="23"/>
          <w:szCs w:val="23"/>
        </w:rPr>
        <w:t>A large body of scientific evidence exists on the biological processes of aging</w:t>
      </w:r>
      <w:r w:rsidR="00481709" w:rsidRPr="006D5298">
        <w:rPr>
          <w:rFonts w:ascii="Times New Roman" w:hAnsi="Times New Roman" w:cs="Times New Roman"/>
          <w:color w:val="auto"/>
          <w:sz w:val="23"/>
          <w:szCs w:val="23"/>
        </w:rPr>
        <w:t xml:space="preserve"> and the increasing availability of tools has contributed to an increased understanding of the impact of genes and environment on these processes. Two factors,</w:t>
      </w:r>
      <w:r w:rsidR="00331739" w:rsidRPr="006D5298">
        <w:rPr>
          <w:rFonts w:ascii="Times New Roman" w:hAnsi="Times New Roman" w:cs="Times New Roman"/>
          <w:color w:val="auto"/>
          <w:sz w:val="23"/>
          <w:szCs w:val="23"/>
        </w:rPr>
        <w:t xml:space="preserve"> changes in</w:t>
      </w:r>
      <w:r w:rsidR="00481709" w:rsidRPr="006D5298">
        <w:rPr>
          <w:rFonts w:ascii="Times New Roman" w:hAnsi="Times New Roman" w:cs="Times New Roman"/>
          <w:color w:val="auto"/>
          <w:sz w:val="23"/>
          <w:szCs w:val="23"/>
        </w:rPr>
        <w:t xml:space="preserve"> leucocyte telomere length (LTL) and </w:t>
      </w:r>
      <w:r w:rsidR="00331739" w:rsidRPr="006D5298">
        <w:rPr>
          <w:rFonts w:ascii="Times New Roman" w:hAnsi="Times New Roman" w:cs="Times New Roman"/>
          <w:color w:val="auto"/>
          <w:sz w:val="23"/>
          <w:szCs w:val="23"/>
        </w:rPr>
        <w:t xml:space="preserve">rate of </w:t>
      </w:r>
      <w:r w:rsidR="00481709" w:rsidRPr="006D5298">
        <w:rPr>
          <w:rFonts w:ascii="Times New Roman" w:hAnsi="Times New Roman" w:cs="Times New Roman"/>
          <w:color w:val="auto"/>
          <w:sz w:val="23"/>
          <w:szCs w:val="23"/>
        </w:rPr>
        <w:t>DNA methylation rate</w:t>
      </w:r>
      <w:r w:rsidR="00331739" w:rsidRPr="006D5298">
        <w:rPr>
          <w:rFonts w:ascii="Times New Roman" w:hAnsi="Times New Roman" w:cs="Times New Roman"/>
          <w:color w:val="auto"/>
          <w:sz w:val="23"/>
          <w:szCs w:val="23"/>
        </w:rPr>
        <w:t xml:space="preserve"> have been linked to ‘healthy’ and ‘unhealthy aging (1</w:t>
      </w:r>
      <w:r>
        <w:rPr>
          <w:rFonts w:ascii="Times New Roman" w:hAnsi="Times New Roman" w:cs="Times New Roman"/>
          <w:color w:val="auto"/>
          <w:sz w:val="23"/>
          <w:szCs w:val="23"/>
        </w:rPr>
        <w:t>-3</w:t>
      </w:r>
      <w:r w:rsidR="00331739" w:rsidRPr="006D5298">
        <w:rPr>
          <w:rFonts w:ascii="Times New Roman" w:hAnsi="Times New Roman" w:cs="Times New Roman"/>
          <w:color w:val="auto"/>
          <w:sz w:val="23"/>
          <w:szCs w:val="23"/>
        </w:rPr>
        <w:t xml:space="preserve">). </w:t>
      </w:r>
      <w:r w:rsidR="00481709" w:rsidRPr="006D5298">
        <w:rPr>
          <w:rFonts w:ascii="Times New Roman" w:hAnsi="Times New Roman" w:cs="Times New Roman"/>
          <w:color w:val="auto"/>
          <w:sz w:val="23"/>
          <w:szCs w:val="23"/>
        </w:rPr>
        <w:t>There is no current agreement on the interpretation of evidence derived from this work for the purpose of predicting healthy lifespan</w:t>
      </w:r>
      <w:r>
        <w:rPr>
          <w:rFonts w:ascii="Times New Roman" w:hAnsi="Times New Roman" w:cs="Times New Roman"/>
          <w:color w:val="auto"/>
          <w:sz w:val="23"/>
          <w:szCs w:val="23"/>
        </w:rPr>
        <w:t>, although these measurements might be helpful as a means to assess the impact of interventions in short term (1-3 years) studies rather than requiring lifetime follow up studies</w:t>
      </w:r>
      <w:r w:rsidR="00481709" w:rsidRPr="006D5298">
        <w:rPr>
          <w:rFonts w:ascii="Times New Roman" w:hAnsi="Times New Roman" w:cs="Times New Roman"/>
          <w:color w:val="auto"/>
          <w:sz w:val="23"/>
          <w:szCs w:val="23"/>
        </w:rPr>
        <w:t xml:space="preserve">. </w:t>
      </w:r>
      <w:r w:rsidR="00D54F91">
        <w:rPr>
          <w:rFonts w:ascii="Times New Roman" w:hAnsi="Times New Roman" w:cs="Times New Roman"/>
          <w:color w:val="auto"/>
          <w:sz w:val="23"/>
          <w:szCs w:val="23"/>
        </w:rPr>
        <w:t xml:space="preserve">In addition, the </w:t>
      </w:r>
      <w:r w:rsidR="00D54F91" w:rsidRPr="00D54F91">
        <w:rPr>
          <w:rFonts w:ascii="Times New Roman" w:hAnsi="Times New Roman" w:cs="Times New Roman"/>
          <w:color w:val="auto"/>
          <w:sz w:val="23"/>
          <w:szCs w:val="23"/>
        </w:rPr>
        <w:t>Hutchinson-Gilford Progeria Syndrome</w:t>
      </w:r>
      <w:r w:rsidR="00D54F91">
        <w:rPr>
          <w:rFonts w:ascii="Times New Roman" w:hAnsi="Times New Roman" w:cs="Times New Roman"/>
          <w:color w:val="auto"/>
          <w:sz w:val="23"/>
          <w:szCs w:val="23"/>
        </w:rPr>
        <w:t>, a genetic disease of humans has documented common pathways with normal aging and may constitute a population in whom novel medicines might be first investigated (4).</w:t>
      </w:r>
    </w:p>
    <w:p w14:paraId="30FE442F" w14:textId="5EC8BF3F" w:rsidR="00F1135E" w:rsidRDefault="00F1135E" w:rsidP="00F1135E">
      <w:pPr>
        <w:pStyle w:val="Default"/>
        <w:spacing w:after="255"/>
        <w:rPr>
          <w:rFonts w:ascii="Times New Roman" w:hAnsi="Times New Roman" w:cs="Times New Roman"/>
          <w:color w:val="auto"/>
          <w:sz w:val="23"/>
          <w:szCs w:val="23"/>
        </w:rPr>
      </w:pPr>
      <w:r>
        <w:rPr>
          <w:rFonts w:ascii="Times New Roman" w:hAnsi="Times New Roman" w:cs="Times New Roman"/>
          <w:color w:val="auto"/>
          <w:sz w:val="23"/>
          <w:szCs w:val="23"/>
        </w:rPr>
        <w:t>2.</w:t>
      </w:r>
      <w:r w:rsidR="00124CC5" w:rsidRPr="006D5298">
        <w:rPr>
          <w:rFonts w:ascii="Times New Roman" w:hAnsi="Times New Roman" w:cs="Times New Roman"/>
          <w:color w:val="auto"/>
          <w:sz w:val="23"/>
          <w:szCs w:val="23"/>
        </w:rPr>
        <w:t xml:space="preserve">How firm is the scientific basis for public health advice about healthy lifestyles </w:t>
      </w:r>
      <w:r w:rsidR="00F66E8D" w:rsidRPr="006D5298">
        <w:rPr>
          <w:rFonts w:ascii="Times New Roman" w:hAnsi="Times New Roman" w:cs="Times New Roman"/>
          <w:color w:val="auto"/>
          <w:sz w:val="23"/>
          <w:szCs w:val="23"/>
        </w:rPr>
        <w:t>to</w:t>
      </w:r>
      <w:r w:rsidR="00124CC5" w:rsidRPr="006D5298">
        <w:rPr>
          <w:rFonts w:ascii="Times New Roman" w:hAnsi="Times New Roman" w:cs="Times New Roman"/>
          <w:color w:val="auto"/>
          <w:sz w:val="23"/>
          <w:szCs w:val="23"/>
        </w:rPr>
        <w:t xml:space="preserve"> increase health span, including physical health and mental health? </w:t>
      </w:r>
    </w:p>
    <w:p w14:paraId="79DC92CD" w14:textId="4BFC816E" w:rsidR="00B346B7" w:rsidRDefault="001E2AD6" w:rsidP="00F1135E">
      <w:pPr>
        <w:pStyle w:val="Default"/>
        <w:spacing w:after="255"/>
        <w:rPr>
          <w:rFonts w:ascii="Times New Roman" w:hAnsi="Times New Roman" w:cs="Times New Roman"/>
          <w:color w:val="auto"/>
          <w:sz w:val="23"/>
          <w:szCs w:val="23"/>
        </w:rPr>
      </w:pPr>
      <w:r w:rsidRPr="001E2AD6">
        <w:rPr>
          <w:rFonts w:ascii="Times New Roman" w:hAnsi="Times New Roman" w:cs="Times New Roman"/>
          <w:b/>
          <w:bCs/>
          <w:color w:val="auto"/>
          <w:sz w:val="23"/>
          <w:szCs w:val="23"/>
        </w:rPr>
        <w:t>FPM Response:</w:t>
      </w:r>
      <w:r>
        <w:rPr>
          <w:rFonts w:ascii="Times New Roman" w:hAnsi="Times New Roman" w:cs="Times New Roman"/>
          <w:color w:val="auto"/>
          <w:sz w:val="23"/>
          <w:szCs w:val="23"/>
        </w:rPr>
        <w:t xml:space="preserve"> The decline in deaths from cardiovascular disease and lung cancer have documented the public health value of not smoking/smoking cessation. The impact of weight loss on reversing type 2 diabetes also supports the public health advice to maintain body weight within the recommended ‘healthy’</w:t>
      </w:r>
      <w:r w:rsidR="00796465">
        <w:rPr>
          <w:rFonts w:ascii="Times New Roman" w:hAnsi="Times New Roman" w:cs="Times New Roman"/>
          <w:color w:val="auto"/>
          <w:sz w:val="23"/>
          <w:szCs w:val="23"/>
        </w:rPr>
        <w:t xml:space="preserve"> </w:t>
      </w:r>
      <w:r>
        <w:rPr>
          <w:rFonts w:ascii="Times New Roman" w:hAnsi="Times New Roman" w:cs="Times New Roman"/>
          <w:color w:val="auto"/>
          <w:sz w:val="23"/>
          <w:szCs w:val="23"/>
        </w:rPr>
        <w:t>control and moderate exercise have all been shown to improve healthy lifespan, reduce the risk of lung and heart disease and improve physical wellbeing</w:t>
      </w:r>
      <w:r w:rsidR="00B346B7">
        <w:rPr>
          <w:rFonts w:ascii="Times New Roman" w:hAnsi="Times New Roman" w:cs="Times New Roman"/>
          <w:color w:val="auto"/>
          <w:sz w:val="23"/>
          <w:szCs w:val="23"/>
        </w:rPr>
        <w:t xml:space="preserve"> (</w:t>
      </w:r>
      <w:r w:rsidR="00D54F91">
        <w:rPr>
          <w:rFonts w:ascii="Times New Roman" w:hAnsi="Times New Roman" w:cs="Times New Roman"/>
          <w:color w:val="auto"/>
          <w:sz w:val="23"/>
          <w:szCs w:val="23"/>
        </w:rPr>
        <w:t>5</w:t>
      </w:r>
      <w:r w:rsidR="00B346B7">
        <w:rPr>
          <w:rFonts w:ascii="Times New Roman" w:hAnsi="Times New Roman" w:cs="Times New Roman"/>
          <w:color w:val="auto"/>
          <w:sz w:val="23"/>
          <w:szCs w:val="23"/>
        </w:rPr>
        <w:t>-</w:t>
      </w:r>
      <w:r w:rsidR="00D54F91">
        <w:rPr>
          <w:rFonts w:ascii="Times New Roman" w:hAnsi="Times New Roman" w:cs="Times New Roman"/>
          <w:color w:val="auto"/>
          <w:sz w:val="23"/>
          <w:szCs w:val="23"/>
        </w:rPr>
        <w:t>7</w:t>
      </w:r>
      <w:r w:rsidR="00B346B7">
        <w:rPr>
          <w:rFonts w:ascii="Times New Roman" w:hAnsi="Times New Roman" w:cs="Times New Roman"/>
          <w:color w:val="auto"/>
          <w:sz w:val="23"/>
          <w:szCs w:val="23"/>
        </w:rPr>
        <w:t>)</w:t>
      </w:r>
      <w:r>
        <w:rPr>
          <w:rFonts w:ascii="Times New Roman" w:hAnsi="Times New Roman" w:cs="Times New Roman"/>
          <w:color w:val="auto"/>
          <w:sz w:val="23"/>
          <w:szCs w:val="23"/>
        </w:rPr>
        <w:t xml:space="preserve">. </w:t>
      </w:r>
      <w:r w:rsidR="00205652">
        <w:rPr>
          <w:rFonts w:ascii="Times New Roman" w:hAnsi="Times New Roman" w:cs="Times New Roman"/>
          <w:color w:val="auto"/>
          <w:sz w:val="23"/>
          <w:szCs w:val="23"/>
        </w:rPr>
        <w:t xml:space="preserve"> Cardiovascular disease is a major component of poor health in later years. </w:t>
      </w:r>
      <w:r w:rsidR="007E3120">
        <w:rPr>
          <w:rFonts w:ascii="Times New Roman" w:hAnsi="Times New Roman" w:cs="Times New Roman"/>
          <w:color w:val="auto"/>
          <w:sz w:val="23"/>
          <w:szCs w:val="23"/>
        </w:rPr>
        <w:t xml:space="preserve">Healthcare Improvement Scotland have reviewed all the evidence concerning </w:t>
      </w:r>
      <w:r w:rsidR="00FC6BB7">
        <w:rPr>
          <w:rFonts w:ascii="Times New Roman" w:hAnsi="Times New Roman" w:cs="Times New Roman"/>
          <w:color w:val="auto"/>
          <w:sz w:val="23"/>
          <w:szCs w:val="23"/>
        </w:rPr>
        <w:t xml:space="preserve">the effect of lifestyle (body weight, smoking, exercise, alcohol intake etc) </w:t>
      </w:r>
      <w:r w:rsidR="00F11CE2">
        <w:rPr>
          <w:rFonts w:ascii="Times New Roman" w:hAnsi="Times New Roman" w:cs="Times New Roman"/>
          <w:color w:val="auto"/>
          <w:sz w:val="23"/>
          <w:szCs w:val="23"/>
        </w:rPr>
        <w:t xml:space="preserve">on incidence of disease and the reported </w:t>
      </w:r>
      <w:r w:rsidR="007E3120">
        <w:rPr>
          <w:rFonts w:ascii="Times New Roman" w:hAnsi="Times New Roman" w:cs="Times New Roman"/>
          <w:color w:val="auto"/>
          <w:sz w:val="23"/>
          <w:szCs w:val="23"/>
        </w:rPr>
        <w:t xml:space="preserve">benefits of lifestyle </w:t>
      </w:r>
      <w:r w:rsidR="00FC6BB7">
        <w:rPr>
          <w:rFonts w:ascii="Times New Roman" w:hAnsi="Times New Roman" w:cs="Times New Roman"/>
          <w:color w:val="auto"/>
          <w:sz w:val="23"/>
          <w:szCs w:val="23"/>
        </w:rPr>
        <w:t xml:space="preserve">changes </w:t>
      </w:r>
      <w:r w:rsidR="00F11CE2">
        <w:rPr>
          <w:rFonts w:ascii="Times New Roman" w:hAnsi="Times New Roman" w:cs="Times New Roman"/>
          <w:color w:val="auto"/>
          <w:sz w:val="23"/>
          <w:szCs w:val="23"/>
        </w:rPr>
        <w:t xml:space="preserve">in diminishing events (8). </w:t>
      </w:r>
      <w:r w:rsidR="00274615">
        <w:rPr>
          <w:rFonts w:ascii="Times New Roman" w:hAnsi="Times New Roman" w:cs="Times New Roman"/>
          <w:color w:val="auto"/>
          <w:sz w:val="23"/>
          <w:szCs w:val="23"/>
        </w:rPr>
        <w:t xml:space="preserve">The review suggests that there is strong evidence for </w:t>
      </w:r>
      <w:r w:rsidR="001F3E6A">
        <w:rPr>
          <w:rFonts w:ascii="Times New Roman" w:hAnsi="Times New Roman" w:cs="Times New Roman"/>
          <w:color w:val="auto"/>
          <w:sz w:val="23"/>
          <w:szCs w:val="23"/>
        </w:rPr>
        <w:t xml:space="preserve">smoking cessation, weight restriction, exercise </w:t>
      </w:r>
      <w:r w:rsidR="006B5783">
        <w:rPr>
          <w:rFonts w:ascii="Times New Roman" w:hAnsi="Times New Roman" w:cs="Times New Roman"/>
          <w:color w:val="auto"/>
          <w:sz w:val="23"/>
          <w:szCs w:val="23"/>
        </w:rPr>
        <w:t>and medical intervention to manage recognised risk factors including diabetes, hypertension</w:t>
      </w:r>
      <w:r w:rsidR="003E309C">
        <w:rPr>
          <w:rFonts w:ascii="Times New Roman" w:hAnsi="Times New Roman" w:cs="Times New Roman"/>
          <w:color w:val="auto"/>
          <w:sz w:val="23"/>
          <w:szCs w:val="23"/>
        </w:rPr>
        <w:t xml:space="preserve"> and hyperlipidaemia. </w:t>
      </w:r>
    </w:p>
    <w:p w14:paraId="2A2E4E2F" w14:textId="4A9C9704" w:rsidR="00124CC5" w:rsidRDefault="00F1135E" w:rsidP="00F1135E">
      <w:pPr>
        <w:pStyle w:val="Default"/>
        <w:keepNext/>
        <w:spacing w:after="255"/>
        <w:rPr>
          <w:rFonts w:ascii="Times New Roman" w:hAnsi="Times New Roman" w:cs="Times New Roman"/>
          <w:color w:val="auto"/>
          <w:sz w:val="23"/>
          <w:szCs w:val="23"/>
        </w:rPr>
      </w:pPr>
      <w:r>
        <w:rPr>
          <w:rFonts w:ascii="Times New Roman" w:hAnsi="Times New Roman" w:cs="Times New Roman"/>
          <w:color w:val="auto"/>
          <w:sz w:val="23"/>
          <w:szCs w:val="23"/>
        </w:rPr>
        <w:t>3.</w:t>
      </w:r>
      <w:r w:rsidR="00124CC5" w:rsidRPr="006D5298">
        <w:rPr>
          <w:rFonts w:ascii="Times New Roman" w:hAnsi="Times New Roman" w:cs="Times New Roman"/>
          <w:color w:val="auto"/>
          <w:sz w:val="23"/>
          <w:szCs w:val="23"/>
        </w:rPr>
        <w:t xml:space="preserve">Which developments in biomedical science are anticipated in the coming years, in time to contribute to the Government’s aim of five more years of healthy and independent life by 2035? </w:t>
      </w:r>
    </w:p>
    <w:p w14:paraId="371BAE21" w14:textId="50E25AB8" w:rsidR="00183C43" w:rsidRPr="00183C43" w:rsidRDefault="00183C43" w:rsidP="00F1135E">
      <w:pPr>
        <w:pStyle w:val="Default"/>
        <w:rPr>
          <w:rFonts w:ascii="Times New Roman" w:hAnsi="Times New Roman" w:cs="Times New Roman"/>
          <w:color w:val="auto"/>
          <w:sz w:val="23"/>
          <w:szCs w:val="23"/>
        </w:rPr>
      </w:pPr>
      <w:r w:rsidRPr="00183C43">
        <w:rPr>
          <w:rFonts w:ascii="Times New Roman" w:hAnsi="Times New Roman" w:cs="Times New Roman"/>
          <w:b/>
          <w:bCs/>
          <w:color w:val="auto"/>
          <w:sz w:val="23"/>
          <w:szCs w:val="23"/>
        </w:rPr>
        <w:t xml:space="preserve">FPM Response: </w:t>
      </w:r>
      <w:r>
        <w:rPr>
          <w:rFonts w:ascii="Times New Roman" w:hAnsi="Times New Roman" w:cs="Times New Roman"/>
          <w:b/>
          <w:bCs/>
          <w:color w:val="auto"/>
          <w:sz w:val="23"/>
          <w:szCs w:val="23"/>
        </w:rPr>
        <w:t xml:space="preserve"> </w:t>
      </w:r>
      <w:r>
        <w:rPr>
          <w:rFonts w:ascii="Times New Roman" w:hAnsi="Times New Roman" w:cs="Times New Roman"/>
          <w:color w:val="auto"/>
          <w:sz w:val="23"/>
          <w:szCs w:val="23"/>
        </w:rPr>
        <w:t xml:space="preserve">In order to impact the </w:t>
      </w:r>
      <w:r w:rsidR="004C0E19">
        <w:rPr>
          <w:rFonts w:ascii="Times New Roman" w:hAnsi="Times New Roman" w:cs="Times New Roman"/>
          <w:color w:val="auto"/>
          <w:sz w:val="23"/>
          <w:szCs w:val="23"/>
        </w:rPr>
        <w:t>government</w:t>
      </w:r>
      <w:r w:rsidR="00081081">
        <w:rPr>
          <w:rFonts w:ascii="Times New Roman" w:hAnsi="Times New Roman" w:cs="Times New Roman"/>
          <w:color w:val="auto"/>
          <w:sz w:val="23"/>
          <w:szCs w:val="23"/>
        </w:rPr>
        <w:t>’</w:t>
      </w:r>
      <w:r w:rsidR="004C0E19">
        <w:rPr>
          <w:rFonts w:ascii="Times New Roman" w:hAnsi="Times New Roman" w:cs="Times New Roman"/>
          <w:color w:val="auto"/>
          <w:sz w:val="23"/>
          <w:szCs w:val="23"/>
        </w:rPr>
        <w:t xml:space="preserve">s aim </w:t>
      </w:r>
      <w:r w:rsidR="003E309C">
        <w:rPr>
          <w:rFonts w:ascii="Times New Roman" w:hAnsi="Times New Roman" w:cs="Times New Roman"/>
          <w:color w:val="auto"/>
          <w:sz w:val="23"/>
          <w:szCs w:val="23"/>
        </w:rPr>
        <w:t xml:space="preserve">of 5 more years of healthy independent life </w:t>
      </w:r>
      <w:r w:rsidR="004C0E19">
        <w:rPr>
          <w:rFonts w:ascii="Times New Roman" w:hAnsi="Times New Roman" w:cs="Times New Roman"/>
          <w:color w:val="auto"/>
          <w:sz w:val="23"/>
          <w:szCs w:val="23"/>
        </w:rPr>
        <w:t>by 2035, clinical trials with novel treatments would need to be underway</w:t>
      </w:r>
      <w:r w:rsidR="003E309C">
        <w:rPr>
          <w:rFonts w:ascii="Times New Roman" w:hAnsi="Times New Roman" w:cs="Times New Roman"/>
          <w:color w:val="auto"/>
          <w:sz w:val="23"/>
          <w:szCs w:val="23"/>
        </w:rPr>
        <w:t xml:space="preserve"> now or </w:t>
      </w:r>
      <w:r w:rsidR="004C0E19">
        <w:rPr>
          <w:rFonts w:ascii="Times New Roman" w:hAnsi="Times New Roman" w:cs="Times New Roman"/>
          <w:color w:val="auto"/>
          <w:sz w:val="23"/>
          <w:szCs w:val="23"/>
        </w:rPr>
        <w:t xml:space="preserve">due to start imminently. To date only metformin, a treatment already licensed for type II diabetes, has been studied specifically for its impact on gene methylation and other longevity associated </w:t>
      </w:r>
      <w:r w:rsidR="004C0E19">
        <w:rPr>
          <w:rFonts w:ascii="Times New Roman" w:hAnsi="Times New Roman" w:cs="Times New Roman"/>
          <w:color w:val="auto"/>
          <w:sz w:val="23"/>
          <w:szCs w:val="23"/>
        </w:rPr>
        <w:lastRenderedPageBreak/>
        <w:t>pathways</w:t>
      </w:r>
      <w:r w:rsidR="003456DB">
        <w:rPr>
          <w:rFonts w:ascii="Times New Roman" w:hAnsi="Times New Roman" w:cs="Times New Roman"/>
          <w:color w:val="auto"/>
          <w:sz w:val="23"/>
          <w:szCs w:val="23"/>
        </w:rPr>
        <w:t>. Although successful in prolonging longevity in mice there is no current positive human data</w:t>
      </w:r>
      <w:r w:rsidR="004C0E19">
        <w:rPr>
          <w:rFonts w:ascii="Times New Roman" w:hAnsi="Times New Roman" w:cs="Times New Roman"/>
          <w:color w:val="auto"/>
          <w:sz w:val="23"/>
          <w:szCs w:val="23"/>
        </w:rPr>
        <w:t>. Although a range of products with effects on telomere length and DNA methylation have been discovered, these have primarily been investigated as treatments for cancer, with mixed results</w:t>
      </w:r>
      <w:r w:rsidR="0070767B">
        <w:rPr>
          <w:rFonts w:ascii="Times New Roman" w:hAnsi="Times New Roman" w:cs="Times New Roman"/>
          <w:color w:val="auto"/>
          <w:sz w:val="23"/>
          <w:szCs w:val="23"/>
        </w:rPr>
        <w:t xml:space="preserve"> and significant side effects limiting use for otherwise healthy persons</w:t>
      </w:r>
      <w:r w:rsidR="00D54F91">
        <w:rPr>
          <w:rFonts w:ascii="Times New Roman" w:hAnsi="Times New Roman" w:cs="Times New Roman"/>
          <w:color w:val="auto"/>
          <w:sz w:val="23"/>
          <w:szCs w:val="23"/>
        </w:rPr>
        <w:t xml:space="preserve">. </w:t>
      </w:r>
      <w:r w:rsidR="00796465">
        <w:rPr>
          <w:rFonts w:ascii="Times New Roman" w:hAnsi="Times New Roman" w:cs="Times New Roman"/>
          <w:color w:val="auto"/>
          <w:sz w:val="23"/>
          <w:szCs w:val="23"/>
        </w:rPr>
        <w:t xml:space="preserve">Treatment of a range of disorders including hypertension, </w:t>
      </w:r>
      <w:r w:rsidR="004D5889">
        <w:rPr>
          <w:rFonts w:ascii="Times New Roman" w:hAnsi="Times New Roman" w:cs="Times New Roman"/>
          <w:color w:val="auto"/>
          <w:sz w:val="23"/>
          <w:szCs w:val="23"/>
        </w:rPr>
        <w:t>hyperlipidaemia</w:t>
      </w:r>
      <w:r w:rsidR="00796465">
        <w:rPr>
          <w:rFonts w:ascii="Times New Roman" w:hAnsi="Times New Roman" w:cs="Times New Roman"/>
          <w:color w:val="auto"/>
          <w:sz w:val="23"/>
          <w:szCs w:val="23"/>
        </w:rPr>
        <w:t xml:space="preserve"> and diabetes can prevent complications including ischemic heart disease, renal disease and stroke prevention of all of which would contribute to healthy aging</w:t>
      </w:r>
      <w:r w:rsidR="003E309C">
        <w:rPr>
          <w:rFonts w:ascii="Times New Roman" w:hAnsi="Times New Roman" w:cs="Times New Roman"/>
          <w:color w:val="auto"/>
          <w:sz w:val="23"/>
          <w:szCs w:val="23"/>
        </w:rPr>
        <w:t xml:space="preserve"> and guidelines for primary and secondary prevention of cardiovascular disease already exist</w:t>
      </w:r>
      <w:r w:rsidR="00796465">
        <w:rPr>
          <w:rFonts w:ascii="Times New Roman" w:hAnsi="Times New Roman" w:cs="Times New Roman"/>
          <w:color w:val="auto"/>
          <w:sz w:val="23"/>
          <w:szCs w:val="23"/>
        </w:rPr>
        <w:t xml:space="preserve">. </w:t>
      </w:r>
      <w:r w:rsidR="00DF35BF">
        <w:rPr>
          <w:rFonts w:ascii="Times New Roman" w:hAnsi="Times New Roman" w:cs="Times New Roman"/>
          <w:color w:val="auto"/>
          <w:sz w:val="23"/>
          <w:szCs w:val="23"/>
        </w:rPr>
        <w:t>A fixed dose</w:t>
      </w:r>
      <w:r w:rsidR="00796465">
        <w:rPr>
          <w:rFonts w:ascii="Times New Roman" w:hAnsi="Times New Roman" w:cs="Times New Roman"/>
          <w:color w:val="auto"/>
          <w:sz w:val="23"/>
          <w:szCs w:val="23"/>
        </w:rPr>
        <w:t xml:space="preserve"> combin</w:t>
      </w:r>
      <w:r w:rsidR="00DF35BF">
        <w:rPr>
          <w:rFonts w:ascii="Times New Roman" w:hAnsi="Times New Roman" w:cs="Times New Roman"/>
          <w:color w:val="auto"/>
          <w:sz w:val="23"/>
          <w:szCs w:val="23"/>
        </w:rPr>
        <w:t>ation product</w:t>
      </w:r>
      <w:r w:rsidR="00796465">
        <w:rPr>
          <w:rFonts w:ascii="Times New Roman" w:hAnsi="Times New Roman" w:cs="Times New Roman"/>
          <w:color w:val="auto"/>
          <w:sz w:val="23"/>
          <w:szCs w:val="23"/>
        </w:rPr>
        <w:t xml:space="preserve"> </w:t>
      </w:r>
      <w:r w:rsidR="003E309C">
        <w:rPr>
          <w:rFonts w:ascii="Times New Roman" w:hAnsi="Times New Roman" w:cs="Times New Roman"/>
          <w:color w:val="auto"/>
          <w:sz w:val="23"/>
          <w:szCs w:val="23"/>
        </w:rPr>
        <w:t xml:space="preserve">(‘Polypill’) </w:t>
      </w:r>
      <w:r w:rsidR="00875C38">
        <w:rPr>
          <w:rFonts w:ascii="Times New Roman" w:hAnsi="Times New Roman" w:cs="Times New Roman"/>
          <w:color w:val="auto"/>
          <w:sz w:val="23"/>
          <w:szCs w:val="23"/>
        </w:rPr>
        <w:t xml:space="preserve">suitable for secondary prevention of cardiovascular disease </w:t>
      </w:r>
      <w:r w:rsidR="003E309C">
        <w:rPr>
          <w:rFonts w:ascii="Times New Roman" w:hAnsi="Times New Roman" w:cs="Times New Roman"/>
          <w:color w:val="auto"/>
          <w:sz w:val="23"/>
          <w:szCs w:val="23"/>
        </w:rPr>
        <w:t xml:space="preserve">may improve compliance with long term therapy. Such a product </w:t>
      </w:r>
      <w:r w:rsidR="00875C38">
        <w:rPr>
          <w:rFonts w:ascii="Times New Roman" w:hAnsi="Times New Roman" w:cs="Times New Roman"/>
          <w:color w:val="auto"/>
          <w:sz w:val="23"/>
          <w:szCs w:val="23"/>
        </w:rPr>
        <w:t>exist</w:t>
      </w:r>
      <w:r w:rsidR="00DF35BF">
        <w:rPr>
          <w:rFonts w:ascii="Times New Roman" w:hAnsi="Times New Roman" w:cs="Times New Roman"/>
          <w:color w:val="auto"/>
          <w:sz w:val="23"/>
          <w:szCs w:val="23"/>
        </w:rPr>
        <w:t>s and has been shown to be clinically effective (</w:t>
      </w:r>
      <w:r w:rsidR="002D5685">
        <w:rPr>
          <w:rFonts w:ascii="Times New Roman" w:hAnsi="Times New Roman" w:cs="Times New Roman"/>
          <w:color w:val="auto"/>
          <w:sz w:val="23"/>
          <w:szCs w:val="23"/>
        </w:rPr>
        <w:t>9</w:t>
      </w:r>
      <w:r w:rsidR="00DF35BF">
        <w:rPr>
          <w:rFonts w:ascii="Times New Roman" w:hAnsi="Times New Roman" w:cs="Times New Roman"/>
          <w:color w:val="auto"/>
          <w:sz w:val="23"/>
          <w:szCs w:val="23"/>
        </w:rPr>
        <w:t xml:space="preserve">). </w:t>
      </w:r>
      <w:r w:rsidR="003E309C">
        <w:rPr>
          <w:rFonts w:ascii="Times New Roman" w:hAnsi="Times New Roman" w:cs="Times New Roman"/>
          <w:color w:val="auto"/>
          <w:sz w:val="23"/>
          <w:szCs w:val="23"/>
        </w:rPr>
        <w:t>In addition, a</w:t>
      </w:r>
      <w:r w:rsidR="00875C38">
        <w:rPr>
          <w:rFonts w:ascii="Times New Roman" w:hAnsi="Times New Roman" w:cs="Times New Roman"/>
          <w:color w:val="auto"/>
          <w:sz w:val="23"/>
          <w:szCs w:val="23"/>
        </w:rPr>
        <w:t xml:space="preserve"> </w:t>
      </w:r>
      <w:r w:rsidR="003E309C">
        <w:rPr>
          <w:rFonts w:ascii="Times New Roman" w:hAnsi="Times New Roman" w:cs="Times New Roman"/>
          <w:color w:val="auto"/>
          <w:sz w:val="23"/>
          <w:szCs w:val="23"/>
        </w:rPr>
        <w:t xml:space="preserve">modelling </w:t>
      </w:r>
      <w:r w:rsidR="00875C38">
        <w:rPr>
          <w:rFonts w:ascii="Times New Roman" w:hAnsi="Times New Roman" w:cs="Times New Roman"/>
          <w:color w:val="auto"/>
          <w:sz w:val="23"/>
          <w:szCs w:val="23"/>
        </w:rPr>
        <w:t>stud</w:t>
      </w:r>
      <w:r w:rsidR="00DF35BF">
        <w:rPr>
          <w:rFonts w:ascii="Times New Roman" w:hAnsi="Times New Roman" w:cs="Times New Roman"/>
          <w:color w:val="auto"/>
          <w:sz w:val="23"/>
          <w:szCs w:val="23"/>
        </w:rPr>
        <w:t>y</w:t>
      </w:r>
      <w:r w:rsidR="00875C38">
        <w:rPr>
          <w:rFonts w:ascii="Times New Roman" w:hAnsi="Times New Roman" w:cs="Times New Roman"/>
          <w:color w:val="auto"/>
          <w:sz w:val="23"/>
          <w:szCs w:val="23"/>
        </w:rPr>
        <w:t xml:space="preserve"> ha</w:t>
      </w:r>
      <w:r w:rsidR="00DF35BF">
        <w:rPr>
          <w:rFonts w:ascii="Times New Roman" w:hAnsi="Times New Roman" w:cs="Times New Roman"/>
          <w:color w:val="auto"/>
          <w:sz w:val="23"/>
          <w:szCs w:val="23"/>
        </w:rPr>
        <w:t>s</w:t>
      </w:r>
      <w:r w:rsidR="00875C38">
        <w:rPr>
          <w:rFonts w:ascii="Times New Roman" w:hAnsi="Times New Roman" w:cs="Times New Roman"/>
          <w:color w:val="auto"/>
          <w:sz w:val="23"/>
          <w:szCs w:val="23"/>
        </w:rPr>
        <w:t xml:space="preserve"> suggested that a modest use of such a </w:t>
      </w:r>
      <w:r w:rsidR="00DF35BF">
        <w:rPr>
          <w:rFonts w:ascii="Times New Roman" w:hAnsi="Times New Roman" w:cs="Times New Roman"/>
          <w:color w:val="auto"/>
          <w:sz w:val="23"/>
          <w:szCs w:val="23"/>
        </w:rPr>
        <w:t xml:space="preserve">product </w:t>
      </w:r>
      <w:r w:rsidR="00875C38">
        <w:rPr>
          <w:rFonts w:ascii="Times New Roman" w:hAnsi="Times New Roman" w:cs="Times New Roman"/>
          <w:color w:val="auto"/>
          <w:sz w:val="23"/>
          <w:szCs w:val="23"/>
        </w:rPr>
        <w:t>would be cost effective in the UK (</w:t>
      </w:r>
      <w:r w:rsidR="002D5685">
        <w:rPr>
          <w:rFonts w:ascii="Times New Roman" w:hAnsi="Times New Roman" w:cs="Times New Roman"/>
          <w:color w:val="auto"/>
          <w:sz w:val="23"/>
          <w:szCs w:val="23"/>
        </w:rPr>
        <w:t>10</w:t>
      </w:r>
      <w:r w:rsidR="00875C38">
        <w:rPr>
          <w:rFonts w:ascii="Times New Roman" w:hAnsi="Times New Roman" w:cs="Times New Roman"/>
          <w:color w:val="auto"/>
          <w:sz w:val="23"/>
          <w:szCs w:val="23"/>
        </w:rPr>
        <w:t xml:space="preserve">). </w:t>
      </w:r>
      <w:r w:rsidR="004F1B2F">
        <w:rPr>
          <w:rFonts w:ascii="Times New Roman" w:hAnsi="Times New Roman" w:cs="Times New Roman"/>
          <w:color w:val="auto"/>
          <w:sz w:val="23"/>
          <w:szCs w:val="23"/>
        </w:rPr>
        <w:t xml:space="preserve"> </w:t>
      </w:r>
      <w:r w:rsidR="00096904">
        <w:rPr>
          <w:rFonts w:ascii="Times New Roman" w:hAnsi="Times New Roman" w:cs="Times New Roman"/>
          <w:color w:val="auto"/>
          <w:sz w:val="23"/>
          <w:szCs w:val="23"/>
        </w:rPr>
        <w:t>Simple diagnostic measures which can provide ‘early warning’ of potential unrecognised disorders leading to limited life spans include testing urine for the presence of protein (early identification of renal disease)</w:t>
      </w:r>
      <w:r w:rsidR="00784E1F">
        <w:rPr>
          <w:rFonts w:ascii="Times New Roman" w:hAnsi="Times New Roman" w:cs="Times New Roman"/>
          <w:color w:val="auto"/>
          <w:sz w:val="23"/>
          <w:szCs w:val="23"/>
        </w:rPr>
        <w:t xml:space="preserve"> and sugar (identifies latent diabetes)</w:t>
      </w:r>
      <w:r w:rsidR="00096904">
        <w:rPr>
          <w:rFonts w:ascii="Times New Roman" w:hAnsi="Times New Roman" w:cs="Times New Roman"/>
          <w:color w:val="auto"/>
          <w:sz w:val="23"/>
          <w:szCs w:val="23"/>
        </w:rPr>
        <w:t>, measuring blood pressure (identifies hypertension)</w:t>
      </w:r>
      <w:r w:rsidR="00784E1F">
        <w:rPr>
          <w:rFonts w:ascii="Times New Roman" w:hAnsi="Times New Roman" w:cs="Times New Roman"/>
          <w:color w:val="auto"/>
          <w:sz w:val="23"/>
          <w:szCs w:val="23"/>
        </w:rPr>
        <w:t xml:space="preserve"> and blood lipid levels (identifies </w:t>
      </w:r>
      <w:r w:rsidR="00074D64">
        <w:rPr>
          <w:rFonts w:ascii="Times New Roman" w:hAnsi="Times New Roman" w:cs="Times New Roman"/>
          <w:color w:val="auto"/>
          <w:sz w:val="23"/>
          <w:szCs w:val="23"/>
        </w:rPr>
        <w:t xml:space="preserve">hyperlipidaemia). </w:t>
      </w:r>
      <w:r w:rsidR="0033530D">
        <w:rPr>
          <w:rFonts w:ascii="Times New Roman" w:hAnsi="Times New Roman" w:cs="Times New Roman"/>
          <w:color w:val="auto"/>
          <w:sz w:val="23"/>
          <w:szCs w:val="23"/>
        </w:rPr>
        <w:t xml:space="preserve">Wearable technologies including exercise bands which also measure </w:t>
      </w:r>
      <w:r w:rsidR="0010562E">
        <w:rPr>
          <w:rFonts w:ascii="Times New Roman" w:hAnsi="Times New Roman" w:cs="Times New Roman"/>
          <w:color w:val="auto"/>
          <w:sz w:val="23"/>
          <w:szCs w:val="23"/>
        </w:rPr>
        <w:t xml:space="preserve">pulse rate (and could identify asymptomatic atrial fibrillation) and </w:t>
      </w:r>
      <w:r w:rsidR="0033530D">
        <w:rPr>
          <w:rFonts w:ascii="Times New Roman" w:hAnsi="Times New Roman" w:cs="Times New Roman"/>
          <w:color w:val="auto"/>
          <w:sz w:val="23"/>
          <w:szCs w:val="23"/>
        </w:rPr>
        <w:t xml:space="preserve">cardiovascular fitness (VO2) </w:t>
      </w:r>
      <w:r w:rsidR="0010562E">
        <w:rPr>
          <w:rFonts w:ascii="Times New Roman" w:hAnsi="Times New Roman" w:cs="Times New Roman"/>
          <w:color w:val="auto"/>
          <w:sz w:val="23"/>
          <w:szCs w:val="23"/>
        </w:rPr>
        <w:t xml:space="preserve">can also be used to identify risk of disease at an earlier stage. </w:t>
      </w:r>
      <w:r w:rsidR="00B47066">
        <w:rPr>
          <w:rFonts w:ascii="Times New Roman" w:hAnsi="Times New Roman" w:cs="Times New Roman"/>
          <w:color w:val="auto"/>
          <w:sz w:val="23"/>
          <w:szCs w:val="23"/>
        </w:rPr>
        <w:t>Familial syndromes conferring a genetic predispo</w:t>
      </w:r>
      <w:r w:rsidR="006A5C84">
        <w:rPr>
          <w:rFonts w:ascii="Times New Roman" w:hAnsi="Times New Roman" w:cs="Times New Roman"/>
          <w:color w:val="auto"/>
          <w:sz w:val="23"/>
          <w:szCs w:val="23"/>
        </w:rPr>
        <w:t xml:space="preserve">sition to certain cancers have been identified </w:t>
      </w:r>
      <w:r w:rsidR="0014533F">
        <w:rPr>
          <w:rFonts w:ascii="Times New Roman" w:hAnsi="Times New Roman" w:cs="Times New Roman"/>
          <w:color w:val="auto"/>
          <w:sz w:val="23"/>
          <w:szCs w:val="23"/>
        </w:rPr>
        <w:t xml:space="preserve">and screening tools developed, while </w:t>
      </w:r>
      <w:r w:rsidR="006A5C84">
        <w:rPr>
          <w:rFonts w:ascii="Times New Roman" w:hAnsi="Times New Roman" w:cs="Times New Roman"/>
          <w:color w:val="auto"/>
          <w:sz w:val="23"/>
          <w:szCs w:val="23"/>
        </w:rPr>
        <w:t xml:space="preserve"> genetic testing of first line relatives of </w:t>
      </w:r>
      <w:r w:rsidR="0014533F">
        <w:rPr>
          <w:rFonts w:ascii="Times New Roman" w:hAnsi="Times New Roman" w:cs="Times New Roman"/>
          <w:color w:val="auto"/>
          <w:sz w:val="23"/>
          <w:szCs w:val="23"/>
        </w:rPr>
        <w:t>subjects developing cancer at younger ages may additionally</w:t>
      </w:r>
      <w:r w:rsidR="006A5C84">
        <w:rPr>
          <w:rFonts w:ascii="Times New Roman" w:hAnsi="Times New Roman" w:cs="Times New Roman"/>
          <w:color w:val="auto"/>
          <w:sz w:val="23"/>
          <w:szCs w:val="23"/>
        </w:rPr>
        <w:t xml:space="preserve"> enable </w:t>
      </w:r>
      <w:r w:rsidR="0067121D">
        <w:rPr>
          <w:rFonts w:ascii="Times New Roman" w:hAnsi="Times New Roman" w:cs="Times New Roman"/>
          <w:color w:val="auto"/>
          <w:sz w:val="23"/>
          <w:szCs w:val="23"/>
        </w:rPr>
        <w:t xml:space="preserve">early identification of subjects at higher risk </w:t>
      </w:r>
      <w:r w:rsidR="0014533F">
        <w:rPr>
          <w:rFonts w:ascii="Times New Roman" w:hAnsi="Times New Roman" w:cs="Times New Roman"/>
          <w:color w:val="auto"/>
          <w:sz w:val="23"/>
          <w:szCs w:val="23"/>
        </w:rPr>
        <w:t>for targeted screening</w:t>
      </w:r>
      <w:r w:rsidR="00A3606F">
        <w:rPr>
          <w:rFonts w:ascii="Times New Roman" w:hAnsi="Times New Roman" w:cs="Times New Roman"/>
          <w:color w:val="auto"/>
          <w:sz w:val="23"/>
          <w:szCs w:val="23"/>
        </w:rPr>
        <w:t xml:space="preserve"> for emergent disease facilitating earlier intervention, which is known to be associated with improved survival</w:t>
      </w:r>
      <w:r w:rsidR="0014533F">
        <w:rPr>
          <w:rFonts w:ascii="Times New Roman" w:hAnsi="Times New Roman" w:cs="Times New Roman"/>
          <w:color w:val="auto"/>
          <w:sz w:val="23"/>
          <w:szCs w:val="23"/>
        </w:rPr>
        <w:t xml:space="preserve">. </w:t>
      </w:r>
      <w:r w:rsidR="002D3DCB">
        <w:rPr>
          <w:rFonts w:ascii="Times New Roman" w:hAnsi="Times New Roman" w:cs="Times New Roman"/>
          <w:color w:val="auto"/>
          <w:sz w:val="23"/>
          <w:szCs w:val="23"/>
        </w:rPr>
        <w:t>A variety of on</w:t>
      </w:r>
      <w:r w:rsidR="004D5889">
        <w:rPr>
          <w:rFonts w:ascii="Times New Roman" w:hAnsi="Times New Roman" w:cs="Times New Roman"/>
          <w:color w:val="auto"/>
          <w:sz w:val="23"/>
          <w:szCs w:val="23"/>
        </w:rPr>
        <w:t>-</w:t>
      </w:r>
      <w:r w:rsidR="002D3DCB">
        <w:rPr>
          <w:rFonts w:ascii="Times New Roman" w:hAnsi="Times New Roman" w:cs="Times New Roman"/>
          <w:color w:val="auto"/>
          <w:sz w:val="23"/>
          <w:szCs w:val="23"/>
        </w:rPr>
        <w:t>line tools to assess memory and intellectual performance c</w:t>
      </w:r>
      <w:r w:rsidR="009C08E8">
        <w:rPr>
          <w:rFonts w:ascii="Times New Roman" w:hAnsi="Times New Roman" w:cs="Times New Roman"/>
          <w:color w:val="auto"/>
          <w:sz w:val="23"/>
          <w:szCs w:val="23"/>
        </w:rPr>
        <w:t>ould</w:t>
      </w:r>
      <w:r w:rsidR="002D3DCB">
        <w:rPr>
          <w:rFonts w:ascii="Times New Roman" w:hAnsi="Times New Roman" w:cs="Times New Roman"/>
          <w:color w:val="auto"/>
          <w:sz w:val="23"/>
          <w:szCs w:val="23"/>
        </w:rPr>
        <w:t xml:space="preserve"> be used to identify </w:t>
      </w:r>
      <w:r w:rsidR="009C08E8">
        <w:rPr>
          <w:rFonts w:ascii="Times New Roman" w:hAnsi="Times New Roman" w:cs="Times New Roman"/>
          <w:color w:val="auto"/>
          <w:sz w:val="23"/>
          <w:szCs w:val="23"/>
        </w:rPr>
        <w:t xml:space="preserve">individuals </w:t>
      </w:r>
      <w:r w:rsidR="009637FC">
        <w:rPr>
          <w:rFonts w:ascii="Times New Roman" w:hAnsi="Times New Roman" w:cs="Times New Roman"/>
          <w:color w:val="auto"/>
          <w:sz w:val="23"/>
          <w:szCs w:val="23"/>
        </w:rPr>
        <w:t xml:space="preserve">at higher risk for development of </w:t>
      </w:r>
      <w:r w:rsidR="009C08E8" w:rsidRPr="00532D8D">
        <w:rPr>
          <w:rFonts w:ascii="Times New Roman" w:hAnsi="Times New Roman" w:cs="Times New Roman"/>
          <w:color w:val="auto"/>
          <w:sz w:val="23"/>
          <w:szCs w:val="23"/>
        </w:rPr>
        <w:t>dementia</w:t>
      </w:r>
      <w:r w:rsidR="009C08E8">
        <w:rPr>
          <w:rFonts w:ascii="Times New Roman" w:hAnsi="Times New Roman" w:cs="Times New Roman"/>
          <w:color w:val="auto"/>
          <w:sz w:val="23"/>
          <w:szCs w:val="23"/>
        </w:rPr>
        <w:t xml:space="preserve"> </w:t>
      </w:r>
      <w:r w:rsidR="009637FC">
        <w:rPr>
          <w:rFonts w:ascii="Times New Roman" w:hAnsi="Times New Roman" w:cs="Times New Roman"/>
          <w:color w:val="auto"/>
          <w:sz w:val="23"/>
          <w:szCs w:val="23"/>
        </w:rPr>
        <w:t>in later life for targeted intervention</w:t>
      </w:r>
      <w:r w:rsidR="009C08E8">
        <w:rPr>
          <w:rFonts w:ascii="Times New Roman" w:hAnsi="Times New Roman" w:cs="Times New Roman"/>
          <w:color w:val="auto"/>
          <w:sz w:val="23"/>
          <w:szCs w:val="23"/>
        </w:rPr>
        <w:t xml:space="preserve"> to protect mental performance. </w:t>
      </w:r>
      <w:r w:rsidR="001956E3">
        <w:rPr>
          <w:rFonts w:ascii="Times New Roman" w:hAnsi="Times New Roman" w:cs="Times New Roman"/>
          <w:color w:val="auto"/>
          <w:sz w:val="23"/>
          <w:szCs w:val="23"/>
        </w:rPr>
        <w:t xml:space="preserve">Friendship groups and peer support systems including </w:t>
      </w:r>
      <w:r w:rsidR="000C5BAC">
        <w:rPr>
          <w:rFonts w:ascii="Times New Roman" w:hAnsi="Times New Roman" w:cs="Times New Roman"/>
          <w:color w:val="auto"/>
          <w:sz w:val="23"/>
          <w:szCs w:val="23"/>
        </w:rPr>
        <w:t xml:space="preserve">community </w:t>
      </w:r>
      <w:r w:rsidR="001956E3">
        <w:rPr>
          <w:rFonts w:ascii="Times New Roman" w:hAnsi="Times New Roman" w:cs="Times New Roman"/>
          <w:color w:val="auto"/>
          <w:sz w:val="23"/>
          <w:szCs w:val="23"/>
        </w:rPr>
        <w:t>clubs</w:t>
      </w:r>
      <w:r w:rsidR="00E96965">
        <w:rPr>
          <w:rFonts w:ascii="Times New Roman" w:hAnsi="Times New Roman" w:cs="Times New Roman"/>
          <w:color w:val="auto"/>
          <w:sz w:val="23"/>
          <w:szCs w:val="23"/>
        </w:rPr>
        <w:t xml:space="preserve"> and</w:t>
      </w:r>
      <w:r w:rsidR="00801649">
        <w:rPr>
          <w:rFonts w:ascii="Times New Roman" w:hAnsi="Times New Roman" w:cs="Times New Roman"/>
          <w:color w:val="auto"/>
          <w:sz w:val="23"/>
          <w:szCs w:val="23"/>
        </w:rPr>
        <w:t xml:space="preserve"> creative arts </w:t>
      </w:r>
      <w:r w:rsidR="00E96965">
        <w:rPr>
          <w:rFonts w:ascii="Times New Roman" w:hAnsi="Times New Roman" w:cs="Times New Roman"/>
          <w:color w:val="auto"/>
          <w:sz w:val="23"/>
          <w:szCs w:val="23"/>
        </w:rPr>
        <w:t xml:space="preserve">groups have been shown to benefit mental health in </w:t>
      </w:r>
      <w:r w:rsidR="000C5BAC">
        <w:rPr>
          <w:rFonts w:ascii="Times New Roman" w:hAnsi="Times New Roman" w:cs="Times New Roman"/>
          <w:color w:val="auto"/>
          <w:sz w:val="23"/>
          <w:szCs w:val="23"/>
        </w:rPr>
        <w:t xml:space="preserve">community living </w:t>
      </w:r>
      <w:r w:rsidR="00E96965">
        <w:rPr>
          <w:rFonts w:ascii="Times New Roman" w:hAnsi="Times New Roman" w:cs="Times New Roman"/>
          <w:color w:val="auto"/>
          <w:sz w:val="23"/>
          <w:szCs w:val="23"/>
        </w:rPr>
        <w:t xml:space="preserve">older </w:t>
      </w:r>
      <w:r w:rsidR="000C5BAC">
        <w:rPr>
          <w:rFonts w:ascii="Times New Roman" w:hAnsi="Times New Roman" w:cs="Times New Roman"/>
          <w:color w:val="auto"/>
          <w:sz w:val="23"/>
          <w:szCs w:val="23"/>
        </w:rPr>
        <w:t xml:space="preserve">people </w:t>
      </w:r>
      <w:r w:rsidR="00801649">
        <w:rPr>
          <w:rFonts w:ascii="Times New Roman" w:hAnsi="Times New Roman" w:cs="Times New Roman"/>
          <w:color w:val="auto"/>
          <w:sz w:val="23"/>
          <w:szCs w:val="23"/>
        </w:rPr>
        <w:t>(1</w:t>
      </w:r>
      <w:r w:rsidR="005963B6">
        <w:rPr>
          <w:rFonts w:ascii="Times New Roman" w:hAnsi="Times New Roman" w:cs="Times New Roman"/>
          <w:color w:val="auto"/>
          <w:sz w:val="23"/>
          <w:szCs w:val="23"/>
        </w:rPr>
        <w:t>1</w:t>
      </w:r>
      <w:r w:rsidR="000C5BAC">
        <w:rPr>
          <w:rFonts w:ascii="Times New Roman" w:hAnsi="Times New Roman" w:cs="Times New Roman"/>
          <w:color w:val="auto"/>
          <w:sz w:val="23"/>
          <w:szCs w:val="23"/>
        </w:rPr>
        <w:t>,1</w:t>
      </w:r>
      <w:r w:rsidR="005963B6">
        <w:rPr>
          <w:rFonts w:ascii="Times New Roman" w:hAnsi="Times New Roman" w:cs="Times New Roman"/>
          <w:color w:val="auto"/>
          <w:sz w:val="23"/>
          <w:szCs w:val="23"/>
        </w:rPr>
        <w:t>2</w:t>
      </w:r>
      <w:r w:rsidR="00801649">
        <w:rPr>
          <w:rFonts w:ascii="Times New Roman" w:hAnsi="Times New Roman" w:cs="Times New Roman"/>
          <w:color w:val="auto"/>
          <w:sz w:val="23"/>
          <w:szCs w:val="23"/>
        </w:rPr>
        <w:t>)</w:t>
      </w:r>
      <w:r w:rsidR="000C5BAC">
        <w:rPr>
          <w:rFonts w:ascii="Times New Roman" w:hAnsi="Times New Roman" w:cs="Times New Roman"/>
          <w:color w:val="auto"/>
          <w:sz w:val="23"/>
          <w:szCs w:val="23"/>
        </w:rPr>
        <w:t xml:space="preserve"> and dementia sufferers</w:t>
      </w:r>
      <w:r w:rsidR="002370DC">
        <w:rPr>
          <w:rFonts w:ascii="Times New Roman" w:hAnsi="Times New Roman" w:cs="Times New Roman"/>
          <w:color w:val="auto"/>
          <w:sz w:val="23"/>
          <w:szCs w:val="23"/>
        </w:rPr>
        <w:t xml:space="preserve"> (1</w:t>
      </w:r>
      <w:r w:rsidR="005963B6">
        <w:rPr>
          <w:rFonts w:ascii="Times New Roman" w:hAnsi="Times New Roman" w:cs="Times New Roman"/>
          <w:color w:val="auto"/>
          <w:sz w:val="23"/>
          <w:szCs w:val="23"/>
        </w:rPr>
        <w:t>3</w:t>
      </w:r>
      <w:r w:rsidR="002370DC">
        <w:rPr>
          <w:rFonts w:ascii="Times New Roman" w:hAnsi="Times New Roman" w:cs="Times New Roman"/>
          <w:color w:val="auto"/>
          <w:sz w:val="23"/>
          <w:szCs w:val="23"/>
        </w:rPr>
        <w:t>)</w:t>
      </w:r>
      <w:r w:rsidR="00E96965">
        <w:rPr>
          <w:rFonts w:ascii="Times New Roman" w:hAnsi="Times New Roman" w:cs="Times New Roman"/>
          <w:color w:val="auto"/>
          <w:sz w:val="23"/>
          <w:szCs w:val="23"/>
        </w:rPr>
        <w:t xml:space="preserve">. </w:t>
      </w:r>
    </w:p>
    <w:p w14:paraId="4D7A2FC0" w14:textId="77777777" w:rsidR="00124CC5" w:rsidRPr="006D5298" w:rsidRDefault="00124CC5" w:rsidP="00183C43">
      <w:pPr>
        <w:pStyle w:val="Default"/>
        <w:ind w:left="360"/>
        <w:rPr>
          <w:rFonts w:ascii="Times New Roman" w:hAnsi="Times New Roman" w:cs="Times New Roman"/>
          <w:color w:val="auto"/>
          <w:sz w:val="23"/>
          <w:szCs w:val="23"/>
        </w:rPr>
      </w:pPr>
    </w:p>
    <w:p w14:paraId="6386A7F3" w14:textId="01424EB8" w:rsidR="00124CC5" w:rsidRDefault="00F1135E" w:rsidP="00F1135E">
      <w:pPr>
        <w:pStyle w:val="Default"/>
        <w:rPr>
          <w:rFonts w:ascii="Times New Roman" w:hAnsi="Times New Roman" w:cs="Times New Roman"/>
          <w:color w:val="auto"/>
          <w:sz w:val="23"/>
          <w:szCs w:val="23"/>
        </w:rPr>
      </w:pPr>
      <w:r>
        <w:rPr>
          <w:rFonts w:ascii="Times New Roman" w:hAnsi="Times New Roman" w:cs="Times New Roman"/>
          <w:color w:val="auto"/>
          <w:sz w:val="23"/>
          <w:szCs w:val="23"/>
        </w:rPr>
        <w:t>4.</w:t>
      </w:r>
      <w:r w:rsidR="00124CC5" w:rsidRPr="006D5298">
        <w:rPr>
          <w:rFonts w:ascii="Times New Roman" w:hAnsi="Times New Roman" w:cs="Times New Roman"/>
          <w:color w:val="auto"/>
          <w:sz w:val="23"/>
          <w:szCs w:val="23"/>
        </w:rPr>
        <w:t xml:space="preserve">How complete is the understanding of behavioural determinants and social determinants of health in old age, and of demographic differences? </w:t>
      </w:r>
    </w:p>
    <w:p w14:paraId="4864C9DB" w14:textId="7AEC3015" w:rsidR="00655144" w:rsidRDefault="00655144" w:rsidP="00655144">
      <w:pPr>
        <w:pStyle w:val="Default"/>
        <w:ind w:left="360"/>
        <w:rPr>
          <w:rFonts w:ascii="Times New Roman" w:hAnsi="Times New Roman" w:cs="Times New Roman"/>
          <w:color w:val="auto"/>
          <w:sz w:val="23"/>
          <w:szCs w:val="23"/>
        </w:rPr>
      </w:pPr>
    </w:p>
    <w:p w14:paraId="15D08E9B" w14:textId="77777777" w:rsidR="00321E6C" w:rsidRDefault="008E5AD3" w:rsidP="00F1135E">
      <w:pPr>
        <w:pStyle w:val="Default"/>
        <w:rPr>
          <w:rFonts w:ascii="Times New Roman" w:hAnsi="Times New Roman" w:cs="Times New Roman"/>
          <w:color w:val="auto"/>
          <w:sz w:val="23"/>
          <w:szCs w:val="23"/>
        </w:rPr>
      </w:pPr>
      <w:r w:rsidRPr="008E5AD3">
        <w:rPr>
          <w:rFonts w:ascii="Times New Roman" w:hAnsi="Times New Roman" w:cs="Times New Roman"/>
          <w:b/>
          <w:bCs/>
          <w:color w:val="auto"/>
          <w:sz w:val="23"/>
          <w:szCs w:val="23"/>
        </w:rPr>
        <w:t>FPM response</w:t>
      </w:r>
      <w:r>
        <w:rPr>
          <w:rFonts w:ascii="Times New Roman" w:hAnsi="Times New Roman" w:cs="Times New Roman"/>
          <w:color w:val="auto"/>
          <w:sz w:val="23"/>
          <w:szCs w:val="23"/>
        </w:rPr>
        <w:t xml:space="preserve">: </w:t>
      </w:r>
      <w:r w:rsidR="00C3406A">
        <w:rPr>
          <w:rFonts w:ascii="Times New Roman" w:hAnsi="Times New Roman" w:cs="Times New Roman"/>
          <w:color w:val="auto"/>
          <w:sz w:val="23"/>
          <w:szCs w:val="23"/>
        </w:rPr>
        <w:t xml:space="preserve"> A body of work has reviewed the social determinants of health</w:t>
      </w:r>
      <w:r w:rsidR="00532897">
        <w:rPr>
          <w:rFonts w:ascii="Times New Roman" w:hAnsi="Times New Roman" w:cs="Times New Roman"/>
          <w:color w:val="auto"/>
          <w:sz w:val="23"/>
          <w:szCs w:val="23"/>
        </w:rPr>
        <w:t xml:space="preserve"> and the</w:t>
      </w:r>
      <w:r w:rsidR="00C64B06">
        <w:rPr>
          <w:rFonts w:ascii="Times New Roman" w:hAnsi="Times New Roman" w:cs="Times New Roman"/>
          <w:color w:val="auto"/>
          <w:sz w:val="23"/>
          <w:szCs w:val="23"/>
        </w:rPr>
        <w:t>se were well described in the Marmot Report (1</w:t>
      </w:r>
      <w:r w:rsidR="005963B6">
        <w:rPr>
          <w:rFonts w:ascii="Times New Roman" w:hAnsi="Times New Roman" w:cs="Times New Roman"/>
          <w:color w:val="auto"/>
          <w:sz w:val="23"/>
          <w:szCs w:val="23"/>
        </w:rPr>
        <w:t>4</w:t>
      </w:r>
      <w:r w:rsidR="002D5685">
        <w:rPr>
          <w:rFonts w:ascii="Times New Roman" w:hAnsi="Times New Roman" w:cs="Times New Roman"/>
          <w:color w:val="auto"/>
          <w:sz w:val="23"/>
          <w:szCs w:val="23"/>
        </w:rPr>
        <w:t xml:space="preserve">). </w:t>
      </w:r>
      <w:r w:rsidR="006B25C6">
        <w:rPr>
          <w:rFonts w:ascii="Times New Roman" w:hAnsi="Times New Roman" w:cs="Times New Roman"/>
          <w:color w:val="auto"/>
          <w:sz w:val="23"/>
          <w:szCs w:val="23"/>
        </w:rPr>
        <w:t xml:space="preserve">There is less understanding of personal behavioural determinants which may impact individuals taking up </w:t>
      </w:r>
      <w:r w:rsidR="00FA70D9">
        <w:rPr>
          <w:rFonts w:ascii="Times New Roman" w:hAnsi="Times New Roman" w:cs="Times New Roman"/>
          <w:color w:val="auto"/>
          <w:sz w:val="23"/>
          <w:szCs w:val="23"/>
        </w:rPr>
        <w:t>interventions or instituting life</w:t>
      </w:r>
      <w:r w:rsidR="004D5889">
        <w:rPr>
          <w:rFonts w:ascii="Times New Roman" w:hAnsi="Times New Roman" w:cs="Times New Roman"/>
          <w:color w:val="auto"/>
          <w:sz w:val="23"/>
          <w:szCs w:val="23"/>
        </w:rPr>
        <w:t>-</w:t>
      </w:r>
      <w:r w:rsidR="00FA70D9">
        <w:rPr>
          <w:rFonts w:ascii="Times New Roman" w:hAnsi="Times New Roman" w:cs="Times New Roman"/>
          <w:color w:val="auto"/>
          <w:sz w:val="23"/>
          <w:szCs w:val="23"/>
        </w:rPr>
        <w:t xml:space="preserve">style change to impact their future health. </w:t>
      </w:r>
      <w:r w:rsidR="00912FAD">
        <w:rPr>
          <w:rFonts w:ascii="Times New Roman" w:hAnsi="Times New Roman" w:cs="Times New Roman"/>
          <w:color w:val="auto"/>
          <w:sz w:val="23"/>
          <w:szCs w:val="23"/>
        </w:rPr>
        <w:t xml:space="preserve">Factors influencing personal </w:t>
      </w:r>
      <w:r w:rsidR="00375FC7">
        <w:rPr>
          <w:rFonts w:ascii="Times New Roman" w:hAnsi="Times New Roman" w:cs="Times New Roman"/>
          <w:color w:val="auto"/>
          <w:sz w:val="23"/>
          <w:szCs w:val="23"/>
        </w:rPr>
        <w:t>b</w:t>
      </w:r>
      <w:r w:rsidR="00912FAD">
        <w:rPr>
          <w:rFonts w:ascii="Times New Roman" w:hAnsi="Times New Roman" w:cs="Times New Roman"/>
          <w:color w:val="auto"/>
          <w:sz w:val="23"/>
          <w:szCs w:val="23"/>
        </w:rPr>
        <w:t>ehaviour</w:t>
      </w:r>
      <w:r w:rsidR="00375FC7">
        <w:rPr>
          <w:rFonts w:ascii="Times New Roman" w:hAnsi="Times New Roman" w:cs="Times New Roman"/>
          <w:color w:val="auto"/>
          <w:sz w:val="23"/>
          <w:szCs w:val="23"/>
        </w:rPr>
        <w:t>al change include peer support systems</w:t>
      </w:r>
      <w:r w:rsidR="00E361A0">
        <w:rPr>
          <w:rFonts w:ascii="Times New Roman" w:hAnsi="Times New Roman" w:cs="Times New Roman"/>
          <w:color w:val="auto"/>
          <w:sz w:val="23"/>
          <w:szCs w:val="23"/>
        </w:rPr>
        <w:t xml:space="preserve"> and </w:t>
      </w:r>
      <w:r w:rsidR="00375FC7">
        <w:rPr>
          <w:rFonts w:ascii="Times New Roman" w:hAnsi="Times New Roman" w:cs="Times New Roman"/>
          <w:color w:val="auto"/>
          <w:sz w:val="23"/>
          <w:szCs w:val="23"/>
        </w:rPr>
        <w:t>celebrity endorsement</w:t>
      </w:r>
      <w:r w:rsidR="00E361A0">
        <w:rPr>
          <w:rFonts w:ascii="Times New Roman" w:hAnsi="Times New Roman" w:cs="Times New Roman"/>
          <w:color w:val="auto"/>
          <w:sz w:val="23"/>
          <w:szCs w:val="23"/>
        </w:rPr>
        <w:t xml:space="preserve"> but the evidence </w:t>
      </w:r>
      <w:r w:rsidR="00A66248">
        <w:rPr>
          <w:rFonts w:ascii="Times New Roman" w:hAnsi="Times New Roman" w:cs="Times New Roman"/>
          <w:color w:val="auto"/>
          <w:sz w:val="23"/>
          <w:szCs w:val="23"/>
        </w:rPr>
        <w:t xml:space="preserve">that these systems support the sustained behavioural change required </w:t>
      </w:r>
      <w:r w:rsidR="00D21608">
        <w:rPr>
          <w:rFonts w:ascii="Times New Roman" w:hAnsi="Times New Roman" w:cs="Times New Roman"/>
          <w:color w:val="auto"/>
          <w:sz w:val="23"/>
          <w:szCs w:val="23"/>
        </w:rPr>
        <w:t>to facilitate healthy aging</w:t>
      </w:r>
      <w:r w:rsidR="00E361A0">
        <w:rPr>
          <w:rFonts w:ascii="Times New Roman" w:hAnsi="Times New Roman" w:cs="Times New Roman"/>
          <w:color w:val="auto"/>
          <w:sz w:val="23"/>
          <w:szCs w:val="23"/>
        </w:rPr>
        <w:t xml:space="preserve"> is </w:t>
      </w:r>
      <w:r w:rsidR="00D21608">
        <w:rPr>
          <w:rFonts w:ascii="Times New Roman" w:hAnsi="Times New Roman" w:cs="Times New Roman"/>
          <w:color w:val="auto"/>
          <w:sz w:val="23"/>
          <w:szCs w:val="23"/>
        </w:rPr>
        <w:t xml:space="preserve">currently </w:t>
      </w:r>
      <w:r w:rsidR="00E361A0">
        <w:rPr>
          <w:rFonts w:ascii="Times New Roman" w:hAnsi="Times New Roman" w:cs="Times New Roman"/>
          <w:color w:val="auto"/>
          <w:sz w:val="23"/>
          <w:szCs w:val="23"/>
        </w:rPr>
        <w:t>limit</w:t>
      </w:r>
      <w:r w:rsidR="00020C2F">
        <w:rPr>
          <w:rFonts w:ascii="Times New Roman" w:hAnsi="Times New Roman" w:cs="Times New Roman"/>
          <w:color w:val="auto"/>
          <w:sz w:val="23"/>
          <w:szCs w:val="23"/>
        </w:rPr>
        <w:t>ed</w:t>
      </w:r>
      <w:r w:rsidR="00E361A0">
        <w:rPr>
          <w:rFonts w:ascii="Times New Roman" w:hAnsi="Times New Roman" w:cs="Times New Roman"/>
          <w:color w:val="auto"/>
          <w:sz w:val="23"/>
          <w:szCs w:val="23"/>
        </w:rPr>
        <w:t xml:space="preserve">. </w:t>
      </w:r>
    </w:p>
    <w:p w14:paraId="04D1E70E" w14:textId="77777777" w:rsidR="00F76A9C" w:rsidRDefault="00F76A9C" w:rsidP="006115DA">
      <w:pPr>
        <w:autoSpaceDE w:val="0"/>
        <w:autoSpaceDN w:val="0"/>
        <w:adjustRightInd w:val="0"/>
        <w:spacing w:after="0" w:line="240" w:lineRule="auto"/>
        <w:rPr>
          <w:rFonts w:ascii="Times New Roman" w:hAnsi="Times New Roman" w:cs="Times New Roman"/>
        </w:rPr>
      </w:pPr>
    </w:p>
    <w:p w14:paraId="256574BA" w14:textId="0665C843" w:rsidR="006115DA" w:rsidRPr="008344BD" w:rsidRDefault="006115DA" w:rsidP="006115DA">
      <w:pPr>
        <w:autoSpaceDE w:val="0"/>
        <w:autoSpaceDN w:val="0"/>
        <w:adjustRightInd w:val="0"/>
        <w:spacing w:after="0" w:line="240" w:lineRule="auto"/>
        <w:rPr>
          <w:rFonts w:ascii="Times New Roman" w:eastAsia="ScalaLancetPro" w:hAnsi="Times New Roman" w:cs="Times New Roman"/>
        </w:rPr>
      </w:pPr>
      <w:r w:rsidRPr="008344BD">
        <w:rPr>
          <w:rFonts w:ascii="Times New Roman" w:hAnsi="Times New Roman" w:cs="Times New Roman"/>
        </w:rPr>
        <w:t xml:space="preserve">A recent analysis of Global Burden of Disease from 1950 to 2017 indicates significant reductions in mortality rates across the world in the ages up to 20 years, particularly in the youngest age groups from 0 to 5 years where there has been a 30% fall </w:t>
      </w:r>
      <w:r w:rsidR="00AA39CC" w:rsidRPr="008344BD">
        <w:rPr>
          <w:rFonts w:ascii="Times New Roman" w:hAnsi="Times New Roman" w:cs="Times New Roman"/>
        </w:rPr>
        <w:t>(</w:t>
      </w:r>
      <w:r w:rsidRPr="008344BD">
        <w:rPr>
          <w:rFonts w:ascii="Times New Roman" w:hAnsi="Times New Roman" w:cs="Times New Roman"/>
        </w:rPr>
        <w:t>1</w:t>
      </w:r>
      <w:r w:rsidR="00B9793B" w:rsidRPr="008344BD">
        <w:rPr>
          <w:rFonts w:ascii="Times New Roman" w:hAnsi="Times New Roman" w:cs="Times New Roman"/>
        </w:rPr>
        <w:t>5</w:t>
      </w:r>
      <w:r w:rsidR="00AA39CC" w:rsidRPr="008344BD">
        <w:rPr>
          <w:rFonts w:ascii="Times New Roman" w:hAnsi="Times New Roman" w:cs="Times New Roman"/>
        </w:rPr>
        <w:t>)</w:t>
      </w:r>
      <w:r w:rsidRPr="008344BD">
        <w:rPr>
          <w:rFonts w:ascii="Times New Roman" w:hAnsi="Times New Roman" w:cs="Times New Roman"/>
        </w:rPr>
        <w:t xml:space="preserve">. Advances from the health sciences have been a major contributor.  For people above the age of 20, the improvements have been much less impressive. </w:t>
      </w:r>
      <w:r w:rsidR="004D16ED" w:rsidRPr="008344BD">
        <w:rPr>
          <w:rFonts w:ascii="Times New Roman" w:eastAsia="ScalaLancetPro" w:hAnsi="Times New Roman" w:cs="Times New Roman"/>
        </w:rPr>
        <w:t>M</w:t>
      </w:r>
      <w:r w:rsidRPr="008344BD">
        <w:rPr>
          <w:rFonts w:ascii="Times New Roman" w:eastAsia="ScalaLancetPro" w:hAnsi="Times New Roman" w:cs="Times New Roman"/>
        </w:rPr>
        <w:t xml:space="preserve">isuse of medicines </w:t>
      </w:r>
      <w:r w:rsidR="00723DB2" w:rsidRPr="008344BD">
        <w:rPr>
          <w:rFonts w:ascii="Times New Roman" w:eastAsia="ScalaLancetPro" w:hAnsi="Times New Roman" w:cs="Times New Roman"/>
        </w:rPr>
        <w:t xml:space="preserve">both prescribing errors </w:t>
      </w:r>
      <w:r w:rsidR="00AA39CC" w:rsidRPr="008344BD">
        <w:rPr>
          <w:rFonts w:ascii="Times New Roman" w:eastAsia="ScalaLancetPro" w:hAnsi="Times New Roman" w:cs="Times New Roman"/>
        </w:rPr>
        <w:t>(</w:t>
      </w:r>
      <w:r w:rsidR="002B7EE7" w:rsidRPr="008344BD">
        <w:rPr>
          <w:rFonts w:ascii="Times New Roman" w:eastAsia="ScalaLancetPro" w:hAnsi="Times New Roman" w:cs="Times New Roman"/>
        </w:rPr>
        <w:t xml:space="preserve">16) </w:t>
      </w:r>
      <w:r w:rsidR="00723DB2" w:rsidRPr="008344BD">
        <w:rPr>
          <w:rFonts w:ascii="Times New Roman" w:eastAsia="ScalaLancetPro" w:hAnsi="Times New Roman" w:cs="Times New Roman"/>
        </w:rPr>
        <w:t xml:space="preserve">and poor patient adherence </w:t>
      </w:r>
      <w:r w:rsidR="002B7EE7" w:rsidRPr="008344BD">
        <w:rPr>
          <w:rFonts w:ascii="Times New Roman" w:eastAsia="ScalaLancetPro" w:hAnsi="Times New Roman" w:cs="Times New Roman"/>
        </w:rPr>
        <w:t xml:space="preserve">(17) </w:t>
      </w:r>
      <w:r w:rsidRPr="008344BD">
        <w:rPr>
          <w:rFonts w:ascii="Times New Roman" w:eastAsia="ScalaLancetPro" w:hAnsi="Times New Roman" w:cs="Times New Roman"/>
        </w:rPr>
        <w:t xml:space="preserve">has prevented medicines </w:t>
      </w:r>
      <w:r w:rsidR="007B1492" w:rsidRPr="008344BD">
        <w:rPr>
          <w:rFonts w:ascii="Times New Roman" w:eastAsia="ScalaLancetPro" w:hAnsi="Times New Roman" w:cs="Times New Roman"/>
        </w:rPr>
        <w:t xml:space="preserve">from </w:t>
      </w:r>
      <w:r w:rsidRPr="008344BD">
        <w:rPr>
          <w:rFonts w:ascii="Times New Roman" w:eastAsia="ScalaLancetPro" w:hAnsi="Times New Roman" w:cs="Times New Roman"/>
        </w:rPr>
        <w:t>delivering better health outcomes to these age groups, including longer life expectancy.</w:t>
      </w:r>
      <w:r w:rsidR="0086064E" w:rsidRPr="008344BD">
        <w:rPr>
          <w:rFonts w:ascii="Times New Roman" w:eastAsia="ScalaLancetPro" w:hAnsi="Times New Roman" w:cs="Times New Roman"/>
        </w:rPr>
        <w:t xml:space="preserve"> Levels of efficacy demonstrated in randomise co</w:t>
      </w:r>
      <w:r w:rsidR="0030467B" w:rsidRPr="008344BD">
        <w:rPr>
          <w:rFonts w:ascii="Times New Roman" w:eastAsia="ScalaLancetPro" w:hAnsi="Times New Roman" w:cs="Times New Roman"/>
        </w:rPr>
        <w:t>n</w:t>
      </w:r>
      <w:r w:rsidR="0086064E" w:rsidRPr="008344BD">
        <w:rPr>
          <w:rFonts w:ascii="Times New Roman" w:eastAsia="ScalaLancetPro" w:hAnsi="Times New Roman" w:cs="Times New Roman"/>
        </w:rPr>
        <w:t>trolled t</w:t>
      </w:r>
      <w:r w:rsidR="0030467B" w:rsidRPr="008344BD">
        <w:rPr>
          <w:rFonts w:ascii="Times New Roman" w:eastAsia="ScalaLancetPro" w:hAnsi="Times New Roman" w:cs="Times New Roman"/>
        </w:rPr>
        <w:t xml:space="preserve">rial undertaken for </w:t>
      </w:r>
      <w:r w:rsidR="006C613E" w:rsidRPr="008344BD">
        <w:rPr>
          <w:rFonts w:ascii="Times New Roman" w:eastAsia="ScalaLancetPro" w:hAnsi="Times New Roman" w:cs="Times New Roman"/>
        </w:rPr>
        <w:t xml:space="preserve">Marketing Authorisation </w:t>
      </w:r>
      <w:r w:rsidR="00FB5E56" w:rsidRPr="008344BD">
        <w:rPr>
          <w:rFonts w:ascii="Times New Roman" w:eastAsia="ScalaLancetPro" w:hAnsi="Times New Roman" w:cs="Times New Roman"/>
        </w:rPr>
        <w:t>are not replication in “real world” studies</w:t>
      </w:r>
      <w:r w:rsidR="009B34F4" w:rsidRPr="008344BD">
        <w:rPr>
          <w:rFonts w:ascii="Times New Roman" w:eastAsia="ScalaLancetPro" w:hAnsi="Times New Roman" w:cs="Times New Roman"/>
        </w:rPr>
        <w:t xml:space="preserve"> where the dosing prescriptions are not follow</w:t>
      </w:r>
      <w:r w:rsidR="00F31144" w:rsidRPr="008344BD">
        <w:rPr>
          <w:rFonts w:ascii="Times New Roman" w:eastAsia="ScalaLancetPro" w:hAnsi="Times New Roman" w:cs="Times New Roman"/>
        </w:rPr>
        <w:t>ed</w:t>
      </w:r>
      <w:r w:rsidR="00EF1073" w:rsidRPr="008344BD">
        <w:rPr>
          <w:rFonts w:ascii="Times New Roman" w:eastAsia="ScalaLancetPro" w:hAnsi="Times New Roman" w:cs="Times New Roman"/>
        </w:rPr>
        <w:t xml:space="preserve"> (18, 19, 20)</w:t>
      </w:r>
      <w:r w:rsidR="00F31144" w:rsidRPr="008344BD">
        <w:rPr>
          <w:rFonts w:ascii="Times New Roman" w:eastAsia="ScalaLancetPro" w:hAnsi="Times New Roman" w:cs="Times New Roman"/>
        </w:rPr>
        <w:t>.</w:t>
      </w:r>
    </w:p>
    <w:p w14:paraId="02D2CE63" w14:textId="47BC1724" w:rsidR="00E90AB7" w:rsidRDefault="00912FAD" w:rsidP="00F1135E">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14:paraId="730A83F5" w14:textId="67D2992C" w:rsidR="00124CC5" w:rsidRPr="006D5298" w:rsidRDefault="00124CC5" w:rsidP="00E90AB7">
      <w:pPr>
        <w:pStyle w:val="Default"/>
        <w:rPr>
          <w:rFonts w:ascii="Times New Roman" w:hAnsi="Times New Roman" w:cs="Times New Roman"/>
          <w:color w:val="auto"/>
          <w:sz w:val="23"/>
          <w:szCs w:val="23"/>
        </w:rPr>
      </w:pPr>
      <w:r w:rsidRPr="006D5298">
        <w:rPr>
          <w:rFonts w:ascii="Times New Roman" w:hAnsi="Times New Roman" w:cs="Times New Roman"/>
          <w:b/>
          <w:bCs/>
          <w:color w:val="auto"/>
          <w:sz w:val="23"/>
          <w:szCs w:val="23"/>
        </w:rPr>
        <w:t xml:space="preserve">Technologies </w:t>
      </w:r>
    </w:p>
    <w:p w14:paraId="2232C945" w14:textId="7B3A7F4F" w:rsidR="00D21608" w:rsidRDefault="00B71FB5" w:rsidP="00B71FB5">
      <w:pPr>
        <w:pStyle w:val="Default"/>
        <w:numPr>
          <w:ilvl w:val="1"/>
          <w:numId w:val="4"/>
        </w:numPr>
        <w:spacing w:after="74"/>
        <w:rPr>
          <w:rFonts w:ascii="Times New Roman" w:hAnsi="Times New Roman" w:cs="Times New Roman"/>
          <w:color w:val="auto"/>
          <w:sz w:val="23"/>
          <w:szCs w:val="23"/>
        </w:rPr>
      </w:pPr>
      <w:r>
        <w:rPr>
          <w:rFonts w:ascii="Times New Roman" w:hAnsi="Times New Roman" w:cs="Times New Roman"/>
          <w:color w:val="auto"/>
          <w:sz w:val="23"/>
          <w:szCs w:val="23"/>
        </w:rPr>
        <w:t xml:space="preserve">5.   </w:t>
      </w:r>
      <w:r w:rsidR="00124CC5" w:rsidRPr="006D5298">
        <w:rPr>
          <w:rFonts w:ascii="Times New Roman" w:hAnsi="Times New Roman" w:cs="Times New Roman"/>
          <w:color w:val="auto"/>
          <w:sz w:val="23"/>
          <w:szCs w:val="23"/>
        </w:rPr>
        <w:t xml:space="preserve">What technologies will be needed to facilitate treatments for ageing and ageing-related, and </w:t>
      </w:r>
      <w:r>
        <w:rPr>
          <w:rFonts w:ascii="Times New Roman" w:hAnsi="Times New Roman" w:cs="Times New Roman"/>
          <w:color w:val="auto"/>
          <w:sz w:val="23"/>
          <w:szCs w:val="23"/>
        </w:rPr>
        <w:t xml:space="preserve">       </w:t>
      </w:r>
      <w:r w:rsidR="00124CC5" w:rsidRPr="00B71FB5">
        <w:rPr>
          <w:rFonts w:ascii="Times New Roman" w:hAnsi="Times New Roman" w:cs="Times New Roman"/>
          <w:color w:val="auto"/>
          <w:sz w:val="23"/>
          <w:szCs w:val="23"/>
        </w:rPr>
        <w:t>what is</w:t>
      </w:r>
      <w:r w:rsidR="00E90AB7">
        <w:rPr>
          <w:rFonts w:ascii="Times New Roman" w:hAnsi="Times New Roman" w:cs="Times New Roman"/>
          <w:color w:val="auto"/>
          <w:sz w:val="23"/>
          <w:szCs w:val="23"/>
        </w:rPr>
        <w:t xml:space="preserve"> t</w:t>
      </w:r>
      <w:r w:rsidR="00124CC5" w:rsidRPr="00B71FB5">
        <w:rPr>
          <w:rFonts w:ascii="Times New Roman" w:hAnsi="Times New Roman" w:cs="Times New Roman"/>
          <w:color w:val="auto"/>
          <w:sz w:val="23"/>
          <w:szCs w:val="23"/>
        </w:rPr>
        <w:t xml:space="preserve">heir current state of readiness? </w:t>
      </w:r>
    </w:p>
    <w:p w14:paraId="0E32FCE7" w14:textId="77777777" w:rsidR="00F1135E" w:rsidRPr="00B71FB5" w:rsidRDefault="00F1135E" w:rsidP="00B71FB5">
      <w:pPr>
        <w:pStyle w:val="Default"/>
        <w:numPr>
          <w:ilvl w:val="1"/>
          <w:numId w:val="4"/>
        </w:numPr>
        <w:spacing w:after="74"/>
        <w:rPr>
          <w:rFonts w:ascii="Times New Roman" w:hAnsi="Times New Roman" w:cs="Times New Roman"/>
          <w:color w:val="auto"/>
          <w:sz w:val="23"/>
          <w:szCs w:val="23"/>
        </w:rPr>
      </w:pPr>
    </w:p>
    <w:p w14:paraId="2D5DD7E0" w14:textId="117C8BA3" w:rsidR="00D21608" w:rsidRDefault="00D21608" w:rsidP="00D21608">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lastRenderedPageBreak/>
        <w:t xml:space="preserve">FPM Response: </w:t>
      </w:r>
      <w:r>
        <w:rPr>
          <w:rFonts w:ascii="Times New Roman" w:hAnsi="Times New Roman" w:cs="Times New Roman"/>
          <w:color w:val="auto"/>
          <w:sz w:val="23"/>
          <w:szCs w:val="23"/>
        </w:rPr>
        <w:t xml:space="preserve">A variety of delivery devices exist to enable </w:t>
      </w:r>
      <w:r w:rsidR="000418B9">
        <w:rPr>
          <w:rFonts w:ascii="Times New Roman" w:hAnsi="Times New Roman" w:cs="Times New Roman"/>
          <w:color w:val="auto"/>
          <w:sz w:val="23"/>
          <w:szCs w:val="23"/>
        </w:rPr>
        <w:t>self</w:t>
      </w:r>
      <w:r w:rsidR="00F606DD">
        <w:rPr>
          <w:rFonts w:ascii="Times New Roman" w:hAnsi="Times New Roman" w:cs="Times New Roman"/>
          <w:color w:val="auto"/>
          <w:sz w:val="23"/>
          <w:szCs w:val="23"/>
        </w:rPr>
        <w:t>-</w:t>
      </w:r>
      <w:r w:rsidR="000418B9">
        <w:rPr>
          <w:rFonts w:ascii="Times New Roman" w:hAnsi="Times New Roman" w:cs="Times New Roman"/>
          <w:color w:val="auto"/>
          <w:sz w:val="23"/>
          <w:szCs w:val="23"/>
        </w:rPr>
        <w:t>administration of potential future therapies, including self</w:t>
      </w:r>
      <w:r w:rsidR="00F1135E">
        <w:rPr>
          <w:rFonts w:ascii="Times New Roman" w:hAnsi="Times New Roman" w:cs="Times New Roman"/>
          <w:color w:val="auto"/>
          <w:sz w:val="23"/>
          <w:szCs w:val="23"/>
        </w:rPr>
        <w:t>-</w:t>
      </w:r>
      <w:r w:rsidR="000418B9">
        <w:rPr>
          <w:rFonts w:ascii="Times New Roman" w:hAnsi="Times New Roman" w:cs="Times New Roman"/>
          <w:color w:val="auto"/>
          <w:sz w:val="23"/>
          <w:szCs w:val="23"/>
        </w:rPr>
        <w:t>injectors, transdermal (e</w:t>
      </w:r>
      <w:r w:rsidR="004D5889">
        <w:rPr>
          <w:rFonts w:ascii="Times New Roman" w:hAnsi="Times New Roman" w:cs="Times New Roman"/>
          <w:color w:val="auto"/>
          <w:sz w:val="23"/>
          <w:szCs w:val="23"/>
        </w:rPr>
        <w:t>.</w:t>
      </w:r>
      <w:r w:rsidR="000418B9">
        <w:rPr>
          <w:rFonts w:ascii="Times New Roman" w:hAnsi="Times New Roman" w:cs="Times New Roman"/>
          <w:color w:val="auto"/>
          <w:sz w:val="23"/>
          <w:szCs w:val="23"/>
        </w:rPr>
        <w:t>g</w:t>
      </w:r>
      <w:r w:rsidR="004D5889">
        <w:rPr>
          <w:rFonts w:ascii="Times New Roman" w:hAnsi="Times New Roman" w:cs="Times New Roman"/>
          <w:color w:val="auto"/>
          <w:sz w:val="23"/>
          <w:szCs w:val="23"/>
        </w:rPr>
        <w:t>.,</w:t>
      </w:r>
      <w:r w:rsidR="000418B9">
        <w:rPr>
          <w:rFonts w:ascii="Times New Roman" w:hAnsi="Times New Roman" w:cs="Times New Roman"/>
          <w:color w:val="auto"/>
          <w:sz w:val="23"/>
          <w:szCs w:val="23"/>
        </w:rPr>
        <w:t xml:space="preserve"> patch) drug delivery technology</w:t>
      </w:r>
      <w:r w:rsidR="00F1135E">
        <w:rPr>
          <w:rFonts w:ascii="Times New Roman" w:hAnsi="Times New Roman" w:cs="Times New Roman"/>
          <w:color w:val="auto"/>
          <w:sz w:val="23"/>
          <w:szCs w:val="23"/>
        </w:rPr>
        <w:t>, implants</w:t>
      </w:r>
      <w:r w:rsidR="000418B9">
        <w:rPr>
          <w:rFonts w:ascii="Times New Roman" w:hAnsi="Times New Roman" w:cs="Times New Roman"/>
          <w:color w:val="auto"/>
          <w:sz w:val="23"/>
          <w:szCs w:val="23"/>
        </w:rPr>
        <w:t xml:space="preserve"> and a variety of technologies for oral delivery of medicines. However, currently there are no specific pharmacological interventions, other than existing treatments that prevent cardiovascular disorders, that are known to increase longevity. </w:t>
      </w:r>
      <w:r w:rsidR="006023A8">
        <w:rPr>
          <w:rFonts w:ascii="Times New Roman" w:hAnsi="Times New Roman" w:cs="Times New Roman"/>
          <w:color w:val="auto"/>
          <w:sz w:val="23"/>
          <w:szCs w:val="23"/>
        </w:rPr>
        <w:t xml:space="preserve">The introduction of wearable devices to enable self (and if required health care professional remote) monitoring of blood pressure, heart rate and rhythm as well as blood sugar levels are already available for home use. </w:t>
      </w:r>
      <w:r w:rsidR="0046775B">
        <w:rPr>
          <w:rFonts w:ascii="Times New Roman" w:hAnsi="Times New Roman" w:cs="Times New Roman"/>
          <w:color w:val="auto"/>
          <w:sz w:val="23"/>
          <w:szCs w:val="23"/>
        </w:rPr>
        <w:t>Remote monitoring approaches could be used to stimulate individuals with deteriorating health status to attend for medical advice and early intervention if required</w:t>
      </w:r>
      <w:r w:rsidR="00F271CA">
        <w:rPr>
          <w:rFonts w:ascii="Times New Roman" w:hAnsi="Times New Roman" w:cs="Times New Roman"/>
          <w:color w:val="auto"/>
          <w:sz w:val="23"/>
          <w:szCs w:val="23"/>
        </w:rPr>
        <w:t xml:space="preserve"> and to prompt individuals to take their medicines regularly or to recognise when doses are missed and send a reminder</w:t>
      </w:r>
      <w:r w:rsidR="0046775B">
        <w:rPr>
          <w:rFonts w:ascii="Times New Roman" w:hAnsi="Times New Roman" w:cs="Times New Roman"/>
          <w:color w:val="auto"/>
          <w:sz w:val="23"/>
          <w:szCs w:val="23"/>
        </w:rPr>
        <w:t xml:space="preserve">. </w:t>
      </w:r>
      <w:proofErr w:type="gramStart"/>
      <w:r w:rsidR="000664F5">
        <w:rPr>
          <w:rFonts w:ascii="Times New Roman" w:hAnsi="Times New Roman" w:cs="Times New Roman"/>
          <w:color w:val="auto"/>
          <w:sz w:val="23"/>
          <w:szCs w:val="23"/>
        </w:rPr>
        <w:t>On line</w:t>
      </w:r>
      <w:proofErr w:type="gramEnd"/>
      <w:r w:rsidR="000664F5">
        <w:rPr>
          <w:rFonts w:ascii="Times New Roman" w:hAnsi="Times New Roman" w:cs="Times New Roman"/>
          <w:color w:val="auto"/>
          <w:sz w:val="23"/>
          <w:szCs w:val="23"/>
        </w:rPr>
        <w:t xml:space="preserve"> GP consultations have </w:t>
      </w:r>
      <w:r w:rsidR="002B201A">
        <w:rPr>
          <w:rFonts w:ascii="Times New Roman" w:hAnsi="Times New Roman" w:cs="Times New Roman"/>
          <w:color w:val="auto"/>
          <w:sz w:val="23"/>
          <w:szCs w:val="23"/>
        </w:rPr>
        <w:t>been successful</w:t>
      </w:r>
      <w:r w:rsidR="00F37F08">
        <w:rPr>
          <w:rFonts w:ascii="Times New Roman" w:hAnsi="Times New Roman" w:cs="Times New Roman"/>
          <w:color w:val="auto"/>
          <w:sz w:val="23"/>
          <w:szCs w:val="23"/>
        </w:rPr>
        <w:t>ly introduced in some systems</w:t>
      </w:r>
      <w:r w:rsidR="000664F5">
        <w:rPr>
          <w:rFonts w:ascii="Times New Roman" w:hAnsi="Times New Roman" w:cs="Times New Roman"/>
          <w:color w:val="auto"/>
          <w:sz w:val="23"/>
          <w:szCs w:val="23"/>
        </w:rPr>
        <w:t xml:space="preserve"> </w:t>
      </w:r>
      <w:r w:rsidR="002B201A">
        <w:rPr>
          <w:rFonts w:ascii="Times New Roman" w:hAnsi="Times New Roman" w:cs="Times New Roman"/>
          <w:color w:val="auto"/>
          <w:sz w:val="23"/>
          <w:szCs w:val="23"/>
        </w:rPr>
        <w:t xml:space="preserve">(15,16) </w:t>
      </w:r>
      <w:r w:rsidR="000664F5">
        <w:rPr>
          <w:rFonts w:ascii="Times New Roman" w:hAnsi="Times New Roman" w:cs="Times New Roman"/>
          <w:color w:val="auto"/>
          <w:sz w:val="23"/>
          <w:szCs w:val="23"/>
        </w:rPr>
        <w:t xml:space="preserve">and </w:t>
      </w:r>
      <w:r w:rsidR="003651F1">
        <w:rPr>
          <w:rFonts w:ascii="Times New Roman" w:hAnsi="Times New Roman" w:cs="Times New Roman"/>
          <w:color w:val="auto"/>
          <w:sz w:val="23"/>
          <w:szCs w:val="23"/>
        </w:rPr>
        <w:t xml:space="preserve">internet based therapy </w:t>
      </w:r>
      <w:r w:rsidR="000664F5">
        <w:rPr>
          <w:rFonts w:ascii="Times New Roman" w:hAnsi="Times New Roman" w:cs="Times New Roman"/>
          <w:color w:val="auto"/>
          <w:sz w:val="23"/>
          <w:szCs w:val="23"/>
        </w:rPr>
        <w:t xml:space="preserve">for </w:t>
      </w:r>
      <w:r w:rsidR="003651F1">
        <w:rPr>
          <w:rFonts w:ascii="Times New Roman" w:hAnsi="Times New Roman" w:cs="Times New Roman"/>
          <w:color w:val="auto"/>
          <w:sz w:val="23"/>
          <w:szCs w:val="23"/>
        </w:rPr>
        <w:t>depression has had some reported success (</w:t>
      </w:r>
      <w:r w:rsidR="00F37F08">
        <w:rPr>
          <w:rFonts w:ascii="Times New Roman" w:hAnsi="Times New Roman" w:cs="Times New Roman"/>
          <w:color w:val="auto"/>
          <w:sz w:val="23"/>
          <w:szCs w:val="23"/>
        </w:rPr>
        <w:t>17</w:t>
      </w:r>
      <w:r w:rsidR="00825A46">
        <w:rPr>
          <w:rFonts w:ascii="Times New Roman" w:hAnsi="Times New Roman" w:cs="Times New Roman"/>
          <w:color w:val="auto"/>
          <w:sz w:val="23"/>
          <w:szCs w:val="23"/>
        </w:rPr>
        <w:t>,18</w:t>
      </w:r>
      <w:r w:rsidR="003651F1">
        <w:rPr>
          <w:rFonts w:ascii="Times New Roman" w:hAnsi="Times New Roman" w:cs="Times New Roman"/>
          <w:color w:val="auto"/>
          <w:sz w:val="23"/>
          <w:szCs w:val="23"/>
        </w:rPr>
        <w:t xml:space="preserve">). </w:t>
      </w:r>
      <w:proofErr w:type="gramStart"/>
      <w:r w:rsidR="00825A46">
        <w:rPr>
          <w:rFonts w:ascii="Times New Roman" w:hAnsi="Times New Roman" w:cs="Times New Roman"/>
          <w:color w:val="auto"/>
          <w:sz w:val="23"/>
          <w:szCs w:val="23"/>
        </w:rPr>
        <w:t>However</w:t>
      </w:r>
      <w:proofErr w:type="gramEnd"/>
      <w:r w:rsidR="00825A46">
        <w:rPr>
          <w:rFonts w:ascii="Times New Roman" w:hAnsi="Times New Roman" w:cs="Times New Roman"/>
          <w:color w:val="auto"/>
          <w:sz w:val="23"/>
          <w:szCs w:val="23"/>
        </w:rPr>
        <w:t xml:space="preserve"> these interventions are currently not available to persons without </w:t>
      </w:r>
      <w:r w:rsidR="00F606DD">
        <w:rPr>
          <w:rFonts w:ascii="Times New Roman" w:hAnsi="Times New Roman" w:cs="Times New Roman"/>
          <w:color w:val="auto"/>
          <w:sz w:val="23"/>
          <w:szCs w:val="23"/>
        </w:rPr>
        <w:t xml:space="preserve">internet connectivity or </w:t>
      </w:r>
      <w:r w:rsidR="00F271CA">
        <w:rPr>
          <w:rFonts w:ascii="Times New Roman" w:hAnsi="Times New Roman" w:cs="Times New Roman"/>
          <w:color w:val="auto"/>
          <w:sz w:val="23"/>
          <w:szCs w:val="23"/>
        </w:rPr>
        <w:t xml:space="preserve">the </w:t>
      </w:r>
      <w:r w:rsidR="00F606DD">
        <w:rPr>
          <w:rFonts w:ascii="Times New Roman" w:hAnsi="Times New Roman" w:cs="Times New Roman"/>
          <w:color w:val="auto"/>
          <w:sz w:val="23"/>
          <w:szCs w:val="23"/>
        </w:rPr>
        <w:t xml:space="preserve">financial resources to purchase the equipment required. </w:t>
      </w:r>
      <w:r w:rsidR="001547B2">
        <w:rPr>
          <w:rFonts w:ascii="Times New Roman" w:hAnsi="Times New Roman" w:cs="Times New Roman"/>
          <w:color w:val="auto"/>
          <w:sz w:val="23"/>
          <w:szCs w:val="23"/>
        </w:rPr>
        <w:t xml:space="preserve">Additionally, while these lessen social isolation and loneliness, they are not a complete replacement for </w:t>
      </w:r>
      <w:r w:rsidR="00DD6E53">
        <w:rPr>
          <w:rFonts w:ascii="Times New Roman" w:hAnsi="Times New Roman" w:cs="Times New Roman"/>
          <w:color w:val="auto"/>
          <w:sz w:val="23"/>
          <w:szCs w:val="23"/>
        </w:rPr>
        <w:t xml:space="preserve">face to face </w:t>
      </w:r>
      <w:r w:rsidR="001547B2">
        <w:rPr>
          <w:rFonts w:ascii="Times New Roman" w:hAnsi="Times New Roman" w:cs="Times New Roman"/>
          <w:color w:val="auto"/>
          <w:sz w:val="23"/>
          <w:szCs w:val="23"/>
        </w:rPr>
        <w:t>interactio</w:t>
      </w:r>
      <w:r w:rsidR="00DD6E53">
        <w:rPr>
          <w:rFonts w:ascii="Times New Roman" w:hAnsi="Times New Roman" w:cs="Times New Roman"/>
          <w:color w:val="auto"/>
          <w:sz w:val="23"/>
          <w:szCs w:val="23"/>
        </w:rPr>
        <w:t xml:space="preserve">ns. </w:t>
      </w:r>
    </w:p>
    <w:p w14:paraId="7205B7F7" w14:textId="606F7112" w:rsidR="003B53BC" w:rsidRDefault="003B53BC" w:rsidP="00D21608">
      <w:pPr>
        <w:pStyle w:val="Default"/>
        <w:rPr>
          <w:rFonts w:ascii="Times New Roman" w:hAnsi="Times New Roman" w:cs="Times New Roman"/>
          <w:color w:val="auto"/>
          <w:sz w:val="23"/>
          <w:szCs w:val="23"/>
        </w:rPr>
      </w:pPr>
    </w:p>
    <w:p w14:paraId="2E51A093" w14:textId="2A8CC8D9" w:rsidR="003B53BC" w:rsidRPr="00950E43" w:rsidRDefault="003B53BC" w:rsidP="00D21608">
      <w:pPr>
        <w:pStyle w:val="Default"/>
        <w:rPr>
          <w:rFonts w:ascii="Times New Roman" w:hAnsi="Times New Roman" w:cs="Times New Roman"/>
          <w:color w:val="auto"/>
          <w:sz w:val="23"/>
          <w:szCs w:val="23"/>
        </w:rPr>
      </w:pPr>
      <w:r w:rsidRPr="00950E43">
        <w:rPr>
          <w:rFonts w:ascii="Times New Roman" w:hAnsi="Times New Roman" w:cs="Times New Roman"/>
          <w:color w:val="auto"/>
          <w:sz w:val="23"/>
          <w:szCs w:val="23"/>
        </w:rPr>
        <w:t xml:space="preserve">Misuse of medicines </w:t>
      </w:r>
      <w:r w:rsidR="00BB463A" w:rsidRPr="00950E43">
        <w:rPr>
          <w:rFonts w:ascii="Times New Roman" w:hAnsi="Times New Roman" w:cs="Times New Roman"/>
          <w:color w:val="auto"/>
          <w:sz w:val="23"/>
          <w:szCs w:val="23"/>
        </w:rPr>
        <w:t xml:space="preserve">requires further education and training for prescribers and </w:t>
      </w:r>
      <w:r w:rsidR="001C19CF" w:rsidRPr="00950E43">
        <w:rPr>
          <w:rFonts w:ascii="Times New Roman" w:hAnsi="Times New Roman" w:cs="Times New Roman"/>
          <w:color w:val="auto"/>
          <w:sz w:val="23"/>
          <w:szCs w:val="23"/>
        </w:rPr>
        <w:t>dispensers</w:t>
      </w:r>
      <w:r w:rsidR="00EE159A" w:rsidRPr="00950E43">
        <w:rPr>
          <w:rFonts w:ascii="Times New Roman" w:hAnsi="Times New Roman" w:cs="Times New Roman"/>
          <w:color w:val="auto"/>
          <w:sz w:val="23"/>
          <w:szCs w:val="23"/>
        </w:rPr>
        <w:t xml:space="preserve">. We are </w:t>
      </w:r>
      <w:r w:rsidR="00377333" w:rsidRPr="00950E43">
        <w:rPr>
          <w:rFonts w:ascii="Times New Roman" w:hAnsi="Times New Roman" w:cs="Times New Roman"/>
          <w:color w:val="auto"/>
          <w:sz w:val="23"/>
          <w:szCs w:val="23"/>
        </w:rPr>
        <w:t>asking for training on reading the Summary of the medici</w:t>
      </w:r>
      <w:r w:rsidR="00421BA3" w:rsidRPr="00950E43">
        <w:rPr>
          <w:rFonts w:ascii="Times New Roman" w:hAnsi="Times New Roman" w:cs="Times New Roman"/>
          <w:color w:val="auto"/>
          <w:sz w:val="23"/>
          <w:szCs w:val="23"/>
        </w:rPr>
        <w:t>nal Product Character</w:t>
      </w:r>
      <w:r w:rsidR="000F4D19" w:rsidRPr="00950E43">
        <w:rPr>
          <w:rFonts w:ascii="Times New Roman" w:hAnsi="Times New Roman" w:cs="Times New Roman"/>
          <w:color w:val="auto"/>
          <w:sz w:val="23"/>
          <w:szCs w:val="23"/>
        </w:rPr>
        <w:t>istics (SmPC)</w:t>
      </w:r>
      <w:r w:rsidR="00BE5563" w:rsidRPr="00950E43">
        <w:rPr>
          <w:rFonts w:ascii="Times New Roman" w:hAnsi="Times New Roman" w:cs="Times New Roman"/>
          <w:color w:val="auto"/>
          <w:sz w:val="23"/>
          <w:szCs w:val="23"/>
        </w:rPr>
        <w:t>. At present it is underused (1</w:t>
      </w:r>
      <w:r w:rsidR="007E55F5" w:rsidRPr="00950E43">
        <w:rPr>
          <w:rFonts w:ascii="Times New Roman" w:hAnsi="Times New Roman" w:cs="Times New Roman"/>
          <w:color w:val="auto"/>
          <w:sz w:val="23"/>
          <w:szCs w:val="23"/>
        </w:rPr>
        <w:t>9)</w:t>
      </w:r>
      <w:r w:rsidR="000F4D19" w:rsidRPr="00950E43">
        <w:rPr>
          <w:rFonts w:ascii="Times New Roman" w:hAnsi="Times New Roman" w:cs="Times New Roman"/>
          <w:color w:val="auto"/>
          <w:sz w:val="23"/>
          <w:szCs w:val="23"/>
        </w:rPr>
        <w:t xml:space="preserve"> that prove</w:t>
      </w:r>
      <w:r w:rsidR="00703C06" w:rsidRPr="00950E43">
        <w:rPr>
          <w:rFonts w:ascii="Times New Roman" w:hAnsi="Times New Roman" w:cs="Times New Roman"/>
          <w:color w:val="auto"/>
          <w:sz w:val="23"/>
          <w:szCs w:val="23"/>
        </w:rPr>
        <w:t xml:space="preserve">s a summary of all the work </w:t>
      </w:r>
      <w:r w:rsidR="00456A83" w:rsidRPr="00950E43">
        <w:rPr>
          <w:rFonts w:ascii="Times New Roman" w:hAnsi="Times New Roman" w:cs="Times New Roman"/>
          <w:color w:val="auto"/>
          <w:sz w:val="23"/>
          <w:szCs w:val="23"/>
        </w:rPr>
        <w:t>performed to gain market approval,</w:t>
      </w:r>
      <w:r w:rsidR="000F4D19" w:rsidRPr="00950E43">
        <w:rPr>
          <w:rFonts w:ascii="Times New Roman" w:hAnsi="Times New Roman" w:cs="Times New Roman"/>
          <w:color w:val="auto"/>
          <w:sz w:val="23"/>
          <w:szCs w:val="23"/>
        </w:rPr>
        <w:t xml:space="preserve"> dosing and duration plus a</w:t>
      </w:r>
      <w:r w:rsidR="00077B19" w:rsidRPr="00950E43">
        <w:rPr>
          <w:rFonts w:ascii="Times New Roman" w:hAnsi="Times New Roman" w:cs="Times New Roman"/>
          <w:color w:val="auto"/>
          <w:sz w:val="23"/>
          <w:szCs w:val="23"/>
        </w:rPr>
        <w:t xml:space="preserve">ll the evidence on safety and efficacy. </w:t>
      </w:r>
      <w:r w:rsidR="002C01C5" w:rsidRPr="00950E43">
        <w:rPr>
          <w:rFonts w:ascii="Times New Roman" w:hAnsi="Times New Roman" w:cs="Times New Roman"/>
          <w:color w:val="auto"/>
          <w:sz w:val="23"/>
          <w:szCs w:val="23"/>
        </w:rPr>
        <w:t xml:space="preserve">Healthcare Professionals are not trained in its use and </w:t>
      </w:r>
      <w:r w:rsidR="0059499E" w:rsidRPr="00950E43">
        <w:rPr>
          <w:rFonts w:ascii="Times New Roman" w:hAnsi="Times New Roman" w:cs="Times New Roman"/>
          <w:color w:val="auto"/>
          <w:sz w:val="23"/>
          <w:szCs w:val="23"/>
        </w:rPr>
        <w:t>could be accomplished during training and on-line</w:t>
      </w:r>
      <w:r w:rsidR="00A25C29" w:rsidRPr="00950E43">
        <w:rPr>
          <w:rFonts w:ascii="Times New Roman" w:hAnsi="Times New Roman" w:cs="Times New Roman"/>
          <w:color w:val="auto"/>
          <w:sz w:val="23"/>
          <w:szCs w:val="23"/>
        </w:rPr>
        <w:t xml:space="preserve">. Tue use of </w:t>
      </w:r>
      <w:r w:rsidR="001C19CF" w:rsidRPr="00950E43">
        <w:rPr>
          <w:rFonts w:ascii="Times New Roman" w:hAnsi="Times New Roman" w:cs="Times New Roman"/>
          <w:color w:val="auto"/>
          <w:sz w:val="23"/>
          <w:szCs w:val="23"/>
        </w:rPr>
        <w:t xml:space="preserve">e-prescribing </w:t>
      </w:r>
      <w:r w:rsidR="00A25C29" w:rsidRPr="00950E43">
        <w:rPr>
          <w:rFonts w:ascii="Times New Roman" w:hAnsi="Times New Roman" w:cs="Times New Roman"/>
          <w:color w:val="auto"/>
          <w:sz w:val="23"/>
          <w:szCs w:val="23"/>
        </w:rPr>
        <w:t xml:space="preserve">is welcomed by the elderly </w:t>
      </w:r>
      <w:r w:rsidR="00A11F32" w:rsidRPr="00950E43">
        <w:rPr>
          <w:rFonts w:ascii="Times New Roman" w:hAnsi="Times New Roman" w:cs="Times New Roman"/>
          <w:color w:val="auto"/>
          <w:sz w:val="23"/>
          <w:szCs w:val="23"/>
        </w:rPr>
        <w:t>(</w:t>
      </w:r>
      <w:r w:rsidR="007E55F5" w:rsidRPr="00950E43">
        <w:rPr>
          <w:rFonts w:ascii="Times New Roman" w:hAnsi="Times New Roman" w:cs="Times New Roman"/>
          <w:color w:val="auto"/>
          <w:sz w:val="23"/>
          <w:szCs w:val="23"/>
        </w:rPr>
        <w:t>20</w:t>
      </w:r>
      <w:r w:rsidR="00A11F32" w:rsidRPr="00950E43">
        <w:rPr>
          <w:rFonts w:ascii="Times New Roman" w:hAnsi="Times New Roman" w:cs="Times New Roman"/>
          <w:color w:val="auto"/>
          <w:sz w:val="23"/>
          <w:szCs w:val="23"/>
        </w:rPr>
        <w:t>)</w:t>
      </w:r>
      <w:r w:rsidR="009872FA" w:rsidRPr="00950E43">
        <w:rPr>
          <w:rFonts w:ascii="Times New Roman" w:hAnsi="Times New Roman" w:cs="Times New Roman"/>
          <w:color w:val="auto"/>
          <w:sz w:val="23"/>
          <w:szCs w:val="23"/>
        </w:rPr>
        <w:t xml:space="preserve"> and is well accepted </w:t>
      </w:r>
      <w:r w:rsidR="00E60D36" w:rsidRPr="00950E43">
        <w:rPr>
          <w:rFonts w:ascii="Times New Roman" w:hAnsi="Times New Roman" w:cs="Times New Roman"/>
          <w:color w:val="auto"/>
          <w:sz w:val="23"/>
          <w:szCs w:val="23"/>
        </w:rPr>
        <w:t>nationally (21)</w:t>
      </w:r>
      <w:r w:rsidR="00A11F32" w:rsidRPr="00950E43">
        <w:rPr>
          <w:rFonts w:ascii="Times New Roman" w:hAnsi="Times New Roman" w:cs="Times New Roman"/>
          <w:color w:val="auto"/>
          <w:sz w:val="23"/>
          <w:szCs w:val="23"/>
        </w:rPr>
        <w:t>.</w:t>
      </w:r>
    </w:p>
    <w:p w14:paraId="1EBB3A09" w14:textId="77777777" w:rsidR="00615401" w:rsidRDefault="00615401" w:rsidP="00615401">
      <w:pPr>
        <w:pStyle w:val="Default"/>
        <w:numPr>
          <w:ilvl w:val="1"/>
          <w:numId w:val="4"/>
        </w:numPr>
        <w:rPr>
          <w:rFonts w:ascii="Times New Roman" w:hAnsi="Times New Roman" w:cs="Times New Roman"/>
          <w:color w:val="auto"/>
          <w:sz w:val="23"/>
          <w:szCs w:val="23"/>
        </w:rPr>
      </w:pPr>
    </w:p>
    <w:p w14:paraId="3028385C" w14:textId="13D3E6C4" w:rsidR="00124CC5" w:rsidRDefault="00615401" w:rsidP="00E90AB7">
      <w:pPr>
        <w:pStyle w:val="Default"/>
        <w:numPr>
          <w:ilvl w:val="1"/>
          <w:numId w:val="4"/>
        </w:numPr>
        <w:rPr>
          <w:rFonts w:ascii="Times New Roman" w:hAnsi="Times New Roman" w:cs="Times New Roman"/>
          <w:color w:val="auto"/>
          <w:sz w:val="23"/>
          <w:szCs w:val="23"/>
        </w:rPr>
      </w:pPr>
      <w:r>
        <w:rPr>
          <w:rFonts w:ascii="Times New Roman" w:hAnsi="Times New Roman" w:cs="Times New Roman"/>
          <w:color w:val="auto"/>
          <w:sz w:val="23"/>
          <w:szCs w:val="23"/>
        </w:rPr>
        <w:t xml:space="preserve">6. </w:t>
      </w:r>
      <w:r w:rsidR="00124CC5" w:rsidRPr="00615401">
        <w:rPr>
          <w:rFonts w:ascii="Times New Roman" w:hAnsi="Times New Roman" w:cs="Times New Roman"/>
          <w:color w:val="auto"/>
          <w:sz w:val="23"/>
          <w:szCs w:val="23"/>
        </w:rPr>
        <w:t xml:space="preserve">What technologies will be needed to help people to live independently for longer, with better health and wellbeing? What is the current state of readiness of these technologies, and what should be done to help older people to engage with them? </w:t>
      </w:r>
    </w:p>
    <w:p w14:paraId="4348B177" w14:textId="77777777" w:rsidR="00FE09A1" w:rsidRDefault="00FE09A1" w:rsidP="00E90AB7">
      <w:pPr>
        <w:pStyle w:val="Default"/>
        <w:numPr>
          <w:ilvl w:val="1"/>
          <w:numId w:val="4"/>
        </w:numPr>
        <w:rPr>
          <w:rFonts w:ascii="Times New Roman" w:hAnsi="Times New Roman" w:cs="Times New Roman"/>
          <w:color w:val="auto"/>
          <w:sz w:val="23"/>
          <w:szCs w:val="23"/>
        </w:rPr>
      </w:pPr>
    </w:p>
    <w:p w14:paraId="15CCB105" w14:textId="26F40D29" w:rsidR="00F606DD" w:rsidRDefault="00E06EE5" w:rsidP="00615401">
      <w:pPr>
        <w:pStyle w:val="Default"/>
        <w:rPr>
          <w:rFonts w:ascii="Times New Roman" w:hAnsi="Times New Roman" w:cs="Times New Roman"/>
          <w:b/>
          <w:bCs/>
          <w:color w:val="auto"/>
          <w:sz w:val="23"/>
          <w:szCs w:val="23"/>
        </w:rPr>
      </w:pPr>
      <w:r w:rsidRPr="00E06EE5">
        <w:rPr>
          <w:rFonts w:ascii="Times New Roman" w:hAnsi="Times New Roman" w:cs="Times New Roman"/>
          <w:b/>
          <w:bCs/>
          <w:color w:val="auto"/>
          <w:sz w:val="23"/>
          <w:szCs w:val="23"/>
        </w:rPr>
        <w:t xml:space="preserve">FPM Response: </w:t>
      </w:r>
    </w:p>
    <w:p w14:paraId="7BA9A4A0" w14:textId="6615BA30" w:rsidR="00E06EE5" w:rsidRPr="00E06EE5" w:rsidRDefault="00E06EE5" w:rsidP="00615401">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Although digital communications have been available and growing in use for several years, </w:t>
      </w:r>
      <w:r w:rsidR="00F8052A">
        <w:rPr>
          <w:rFonts w:ascii="Times New Roman" w:hAnsi="Times New Roman" w:cs="Times New Roman"/>
          <w:color w:val="auto"/>
          <w:sz w:val="23"/>
          <w:szCs w:val="23"/>
        </w:rPr>
        <w:t xml:space="preserve">many individuals, particularly those in the lowest income brackets, the group with the worst health outcomes, may not have access to these as they will not be able to afford to purchase the systems required to interact with these technologies. These individuals will continue to require </w:t>
      </w:r>
      <w:proofErr w:type="gramStart"/>
      <w:r w:rsidR="00F8052A">
        <w:rPr>
          <w:rFonts w:ascii="Times New Roman" w:hAnsi="Times New Roman" w:cs="Times New Roman"/>
          <w:color w:val="auto"/>
          <w:sz w:val="23"/>
          <w:szCs w:val="23"/>
        </w:rPr>
        <w:t>community based</w:t>
      </w:r>
      <w:proofErr w:type="gramEnd"/>
      <w:r w:rsidR="00F8052A">
        <w:rPr>
          <w:rFonts w:ascii="Times New Roman" w:hAnsi="Times New Roman" w:cs="Times New Roman"/>
          <w:color w:val="auto"/>
          <w:sz w:val="23"/>
          <w:szCs w:val="23"/>
        </w:rPr>
        <w:t xml:space="preserve"> services close to home. Similarly, the centralization of healthcare services in larger institutions distant to communities in which most users live limits access to available clinics. Local community car and transport services provided by volunteers </w:t>
      </w:r>
      <w:r w:rsidR="00F271CA">
        <w:rPr>
          <w:rFonts w:ascii="Times New Roman" w:hAnsi="Times New Roman" w:cs="Times New Roman"/>
          <w:color w:val="auto"/>
          <w:sz w:val="23"/>
          <w:szCs w:val="23"/>
        </w:rPr>
        <w:t>are</w:t>
      </w:r>
      <w:r w:rsidR="00F8052A">
        <w:rPr>
          <w:rFonts w:ascii="Times New Roman" w:hAnsi="Times New Roman" w:cs="Times New Roman"/>
          <w:color w:val="auto"/>
          <w:sz w:val="23"/>
          <w:szCs w:val="23"/>
        </w:rPr>
        <w:t xml:space="preserve"> increasingly used by </w:t>
      </w:r>
      <w:r w:rsidR="007171C3">
        <w:rPr>
          <w:rFonts w:ascii="Times New Roman" w:hAnsi="Times New Roman" w:cs="Times New Roman"/>
          <w:color w:val="auto"/>
          <w:sz w:val="23"/>
          <w:szCs w:val="23"/>
        </w:rPr>
        <w:t xml:space="preserve">elderly individuals, particularly those based in rural areas, to access services based </w:t>
      </w:r>
      <w:r w:rsidR="00F271CA">
        <w:rPr>
          <w:rFonts w:ascii="Times New Roman" w:hAnsi="Times New Roman" w:cs="Times New Roman"/>
          <w:color w:val="auto"/>
          <w:sz w:val="23"/>
          <w:szCs w:val="23"/>
        </w:rPr>
        <w:t xml:space="preserve">primarily </w:t>
      </w:r>
      <w:r w:rsidR="007171C3">
        <w:rPr>
          <w:rFonts w:ascii="Times New Roman" w:hAnsi="Times New Roman" w:cs="Times New Roman"/>
          <w:color w:val="auto"/>
          <w:sz w:val="23"/>
          <w:szCs w:val="23"/>
        </w:rPr>
        <w:t xml:space="preserve">in urban centres. </w:t>
      </w:r>
      <w:r w:rsidR="00426E46">
        <w:rPr>
          <w:rFonts w:ascii="Times New Roman" w:hAnsi="Times New Roman" w:cs="Times New Roman"/>
          <w:color w:val="auto"/>
          <w:sz w:val="23"/>
          <w:szCs w:val="23"/>
        </w:rPr>
        <w:t>Community care provision is often provided by charitable organisations or local volunteers</w:t>
      </w:r>
      <w:r w:rsidR="00452DF1">
        <w:rPr>
          <w:rFonts w:ascii="Times New Roman" w:hAnsi="Times New Roman" w:cs="Times New Roman"/>
          <w:color w:val="auto"/>
          <w:sz w:val="23"/>
          <w:szCs w:val="23"/>
        </w:rPr>
        <w:t xml:space="preserve">. Family dispersal has increased social isolation for some individuals. Smart home technology now exists to enable distant relatives to ‘view’ </w:t>
      </w:r>
      <w:r w:rsidR="00F271CA">
        <w:rPr>
          <w:rFonts w:ascii="Times New Roman" w:hAnsi="Times New Roman" w:cs="Times New Roman"/>
          <w:color w:val="auto"/>
          <w:sz w:val="23"/>
          <w:szCs w:val="23"/>
        </w:rPr>
        <w:t xml:space="preserve">and speak with </w:t>
      </w:r>
      <w:r w:rsidR="00452DF1">
        <w:rPr>
          <w:rFonts w:ascii="Times New Roman" w:hAnsi="Times New Roman" w:cs="Times New Roman"/>
          <w:color w:val="auto"/>
          <w:sz w:val="23"/>
          <w:szCs w:val="23"/>
        </w:rPr>
        <w:t xml:space="preserve">their relatives in their own </w:t>
      </w:r>
      <w:proofErr w:type="gramStart"/>
      <w:r w:rsidR="00452DF1">
        <w:rPr>
          <w:rFonts w:ascii="Times New Roman" w:hAnsi="Times New Roman" w:cs="Times New Roman"/>
          <w:color w:val="auto"/>
          <w:sz w:val="23"/>
          <w:szCs w:val="23"/>
        </w:rPr>
        <w:t>home, but</w:t>
      </w:r>
      <w:proofErr w:type="gramEnd"/>
      <w:r w:rsidR="00452DF1">
        <w:rPr>
          <w:rFonts w:ascii="Times New Roman" w:hAnsi="Times New Roman" w:cs="Times New Roman"/>
          <w:color w:val="auto"/>
          <w:sz w:val="23"/>
          <w:szCs w:val="23"/>
        </w:rPr>
        <w:t xml:space="preserve"> is not a </w:t>
      </w:r>
      <w:r w:rsidR="00F271CA">
        <w:rPr>
          <w:rFonts w:ascii="Times New Roman" w:hAnsi="Times New Roman" w:cs="Times New Roman"/>
          <w:color w:val="auto"/>
          <w:sz w:val="23"/>
          <w:szCs w:val="23"/>
        </w:rPr>
        <w:t xml:space="preserve">complete </w:t>
      </w:r>
      <w:r w:rsidR="00452DF1">
        <w:rPr>
          <w:rFonts w:ascii="Times New Roman" w:hAnsi="Times New Roman" w:cs="Times New Roman"/>
          <w:color w:val="auto"/>
          <w:sz w:val="23"/>
          <w:szCs w:val="23"/>
        </w:rPr>
        <w:t xml:space="preserve">substitute for </w:t>
      </w:r>
      <w:r w:rsidR="001547B2">
        <w:rPr>
          <w:rFonts w:ascii="Times New Roman" w:hAnsi="Times New Roman" w:cs="Times New Roman"/>
          <w:color w:val="auto"/>
          <w:sz w:val="23"/>
          <w:szCs w:val="23"/>
        </w:rPr>
        <w:t xml:space="preserve">personal interaction with other human beings. </w:t>
      </w:r>
      <w:r w:rsidR="00EE2C65">
        <w:rPr>
          <w:rFonts w:ascii="Times New Roman" w:hAnsi="Times New Roman" w:cs="Times New Roman"/>
          <w:color w:val="auto"/>
          <w:sz w:val="23"/>
          <w:szCs w:val="23"/>
        </w:rPr>
        <w:t xml:space="preserve">Encouraging the growth and maintenance of local community clubs and places in which individuals can come together for social interaction is an important contribution to </w:t>
      </w:r>
      <w:r w:rsidR="00C90AA4">
        <w:rPr>
          <w:rFonts w:ascii="Times New Roman" w:hAnsi="Times New Roman" w:cs="Times New Roman"/>
          <w:color w:val="auto"/>
          <w:sz w:val="23"/>
          <w:szCs w:val="23"/>
        </w:rPr>
        <w:t xml:space="preserve">healthy aging. </w:t>
      </w:r>
    </w:p>
    <w:p w14:paraId="37E5105A" w14:textId="77777777" w:rsidR="00E06EE5" w:rsidRPr="00E06EE5" w:rsidRDefault="00E06EE5" w:rsidP="00615401">
      <w:pPr>
        <w:pStyle w:val="Default"/>
        <w:rPr>
          <w:rFonts w:ascii="Times New Roman" w:hAnsi="Times New Roman" w:cs="Times New Roman"/>
          <w:b/>
          <w:bCs/>
          <w:color w:val="auto"/>
          <w:sz w:val="23"/>
          <w:szCs w:val="23"/>
        </w:rPr>
      </w:pPr>
    </w:p>
    <w:p w14:paraId="1206F1E6" w14:textId="77777777" w:rsidR="00124CC5" w:rsidRPr="006D5298" w:rsidRDefault="00124CC5" w:rsidP="00615401">
      <w:pPr>
        <w:pStyle w:val="Default"/>
        <w:rPr>
          <w:rFonts w:ascii="Times New Roman" w:hAnsi="Times New Roman" w:cs="Times New Roman"/>
          <w:color w:val="auto"/>
          <w:sz w:val="23"/>
          <w:szCs w:val="23"/>
        </w:rPr>
      </w:pPr>
      <w:r w:rsidRPr="006D5298">
        <w:rPr>
          <w:rFonts w:ascii="Times New Roman" w:hAnsi="Times New Roman" w:cs="Times New Roman"/>
          <w:color w:val="auto"/>
          <w:sz w:val="23"/>
          <w:szCs w:val="23"/>
        </w:rPr>
        <w:t xml:space="preserve">7. How can technology be used to improve mental health and reduce loneliness for older people? </w:t>
      </w:r>
    </w:p>
    <w:p w14:paraId="11E88CEE" w14:textId="77777777" w:rsidR="00DD6E53" w:rsidRPr="006D5298" w:rsidRDefault="00DD6E53" w:rsidP="00DD6E53">
      <w:pPr>
        <w:pStyle w:val="Default"/>
        <w:ind w:left="360"/>
        <w:rPr>
          <w:rFonts w:ascii="Times New Roman" w:hAnsi="Times New Roman" w:cs="Times New Roman"/>
          <w:color w:val="auto"/>
          <w:sz w:val="23"/>
          <w:szCs w:val="23"/>
        </w:rPr>
      </w:pPr>
    </w:p>
    <w:p w14:paraId="3C763C46" w14:textId="4C004DBF" w:rsidR="00124CC5" w:rsidRDefault="00DD6E53" w:rsidP="00124CC5">
      <w:pPr>
        <w:pStyle w:val="Default"/>
        <w:rPr>
          <w:rFonts w:ascii="Times New Roman" w:hAnsi="Times New Roman" w:cs="Times New Roman"/>
          <w:color w:val="auto"/>
          <w:sz w:val="23"/>
          <w:szCs w:val="23"/>
        </w:rPr>
      </w:pPr>
      <w:r w:rsidRPr="00DD6E53">
        <w:rPr>
          <w:rFonts w:ascii="Times New Roman" w:hAnsi="Times New Roman" w:cs="Times New Roman"/>
          <w:b/>
          <w:bCs/>
          <w:color w:val="auto"/>
          <w:sz w:val="23"/>
          <w:szCs w:val="23"/>
        </w:rPr>
        <w:t xml:space="preserve">FPM response: </w:t>
      </w:r>
      <w:r>
        <w:rPr>
          <w:rFonts w:ascii="Times New Roman" w:hAnsi="Times New Roman" w:cs="Times New Roman"/>
          <w:color w:val="auto"/>
          <w:sz w:val="23"/>
          <w:szCs w:val="23"/>
        </w:rPr>
        <w:t>See responses to questions 5 and 6. Increasing computer literacy and access to home computing/smart phone technology will, over time, diminish the principle barriers to access of these technologies, which i</w:t>
      </w:r>
      <w:r w:rsidR="00C90AA4">
        <w:rPr>
          <w:rFonts w:ascii="Times New Roman" w:hAnsi="Times New Roman" w:cs="Times New Roman"/>
          <w:color w:val="auto"/>
          <w:sz w:val="23"/>
          <w:szCs w:val="23"/>
        </w:rPr>
        <w:t>ncludes the</w:t>
      </w:r>
      <w:r>
        <w:rPr>
          <w:rFonts w:ascii="Times New Roman" w:hAnsi="Times New Roman" w:cs="Times New Roman"/>
          <w:color w:val="auto"/>
          <w:sz w:val="23"/>
          <w:szCs w:val="23"/>
        </w:rPr>
        <w:t xml:space="preserve"> a</w:t>
      </w:r>
      <w:r w:rsidR="002F38E2">
        <w:rPr>
          <w:rFonts w:ascii="Times New Roman" w:hAnsi="Times New Roman" w:cs="Times New Roman"/>
          <w:color w:val="auto"/>
          <w:sz w:val="23"/>
          <w:szCs w:val="23"/>
        </w:rPr>
        <w:t>bility to finance equipment purchase and fund access to the internet-of-things</w:t>
      </w:r>
      <w:r>
        <w:rPr>
          <w:rFonts w:ascii="Times New Roman" w:hAnsi="Times New Roman" w:cs="Times New Roman"/>
          <w:color w:val="auto"/>
          <w:sz w:val="23"/>
          <w:szCs w:val="23"/>
        </w:rPr>
        <w:t>.</w:t>
      </w:r>
      <w:r w:rsidR="002F38E2">
        <w:rPr>
          <w:rFonts w:ascii="Times New Roman" w:hAnsi="Times New Roman" w:cs="Times New Roman"/>
          <w:color w:val="auto"/>
          <w:sz w:val="23"/>
          <w:szCs w:val="23"/>
        </w:rPr>
        <w:t xml:space="preserve"> </w:t>
      </w:r>
      <w:r w:rsidR="00CE4637">
        <w:rPr>
          <w:rFonts w:ascii="Times New Roman" w:hAnsi="Times New Roman" w:cs="Times New Roman"/>
          <w:color w:val="auto"/>
          <w:sz w:val="23"/>
          <w:szCs w:val="23"/>
        </w:rPr>
        <w:t xml:space="preserve">None of these </w:t>
      </w:r>
      <w:r w:rsidR="00DE607F">
        <w:rPr>
          <w:rFonts w:ascii="Times New Roman" w:hAnsi="Times New Roman" w:cs="Times New Roman"/>
          <w:color w:val="auto"/>
          <w:sz w:val="23"/>
          <w:szCs w:val="23"/>
        </w:rPr>
        <w:t xml:space="preserve">technologies </w:t>
      </w:r>
      <w:r w:rsidR="00CE4637">
        <w:rPr>
          <w:rFonts w:ascii="Times New Roman" w:hAnsi="Times New Roman" w:cs="Times New Roman"/>
          <w:color w:val="auto"/>
          <w:sz w:val="23"/>
          <w:szCs w:val="23"/>
        </w:rPr>
        <w:t xml:space="preserve">are a substitute for the touch of another human hand and continued effort to encourage direct engagement within their community </w:t>
      </w:r>
      <w:r w:rsidR="00487C2F">
        <w:rPr>
          <w:rFonts w:ascii="Times New Roman" w:hAnsi="Times New Roman" w:cs="Times New Roman"/>
          <w:color w:val="auto"/>
          <w:sz w:val="23"/>
          <w:szCs w:val="23"/>
        </w:rPr>
        <w:t>may be preferred by many.</w:t>
      </w:r>
      <w:r w:rsidR="00C4382C">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 </w:t>
      </w:r>
      <w:r w:rsidR="00513C8F">
        <w:rPr>
          <w:rFonts w:ascii="Times New Roman" w:hAnsi="Times New Roman" w:cs="Times New Roman"/>
          <w:color w:val="auto"/>
          <w:sz w:val="23"/>
          <w:szCs w:val="23"/>
        </w:rPr>
        <w:t>Continued support for community</w:t>
      </w:r>
      <w:r w:rsidR="00487C2F">
        <w:rPr>
          <w:rFonts w:ascii="Times New Roman" w:hAnsi="Times New Roman" w:cs="Times New Roman"/>
          <w:color w:val="auto"/>
          <w:sz w:val="23"/>
          <w:szCs w:val="23"/>
        </w:rPr>
        <w:t>-</w:t>
      </w:r>
      <w:r w:rsidR="00513C8F">
        <w:rPr>
          <w:rFonts w:ascii="Times New Roman" w:hAnsi="Times New Roman" w:cs="Times New Roman"/>
          <w:color w:val="auto"/>
          <w:sz w:val="23"/>
          <w:szCs w:val="23"/>
        </w:rPr>
        <w:t xml:space="preserve">based services and encouragement to form and maintain local friendship clubs and activities </w:t>
      </w:r>
      <w:r w:rsidR="0068216D">
        <w:rPr>
          <w:rFonts w:ascii="Times New Roman" w:hAnsi="Times New Roman" w:cs="Times New Roman"/>
          <w:color w:val="auto"/>
          <w:sz w:val="23"/>
          <w:szCs w:val="23"/>
        </w:rPr>
        <w:t>can alleviate loneliness</w:t>
      </w:r>
      <w:r w:rsidR="00487C2F">
        <w:rPr>
          <w:rFonts w:ascii="Times New Roman" w:hAnsi="Times New Roman" w:cs="Times New Roman"/>
          <w:color w:val="auto"/>
          <w:sz w:val="23"/>
          <w:szCs w:val="23"/>
        </w:rPr>
        <w:t xml:space="preserve"> and provide a support </w:t>
      </w:r>
      <w:r w:rsidR="00487C2F">
        <w:rPr>
          <w:rFonts w:ascii="Times New Roman" w:hAnsi="Times New Roman" w:cs="Times New Roman"/>
          <w:color w:val="auto"/>
          <w:sz w:val="23"/>
          <w:szCs w:val="23"/>
        </w:rPr>
        <w:lastRenderedPageBreak/>
        <w:t>network.</w:t>
      </w:r>
      <w:r w:rsidR="00251F7E">
        <w:rPr>
          <w:rFonts w:ascii="Times New Roman" w:hAnsi="Times New Roman" w:cs="Times New Roman"/>
          <w:color w:val="auto"/>
          <w:sz w:val="23"/>
          <w:szCs w:val="23"/>
        </w:rPr>
        <w:t xml:space="preserve"> Provision of computer services in a private area in a local library or community hall could provide access to internet support services</w:t>
      </w:r>
      <w:r w:rsidR="00487C2F">
        <w:rPr>
          <w:rFonts w:ascii="Times New Roman" w:hAnsi="Times New Roman" w:cs="Times New Roman"/>
          <w:color w:val="auto"/>
          <w:sz w:val="23"/>
          <w:szCs w:val="23"/>
        </w:rPr>
        <w:t xml:space="preserve"> where required</w:t>
      </w:r>
      <w:r w:rsidR="00251F7E">
        <w:rPr>
          <w:rFonts w:ascii="Times New Roman" w:hAnsi="Times New Roman" w:cs="Times New Roman"/>
          <w:color w:val="auto"/>
          <w:sz w:val="23"/>
          <w:szCs w:val="23"/>
        </w:rPr>
        <w:t>.</w:t>
      </w:r>
      <w:r w:rsidR="00251F7E" w:rsidRPr="00251F7E">
        <w:rPr>
          <w:rFonts w:ascii="Times New Roman" w:hAnsi="Times New Roman" w:cs="Times New Roman"/>
          <w:color w:val="auto"/>
          <w:sz w:val="23"/>
          <w:szCs w:val="23"/>
        </w:rPr>
        <w:t xml:space="preserve"> </w:t>
      </w:r>
      <w:r w:rsidR="00251F7E">
        <w:rPr>
          <w:rFonts w:ascii="Times New Roman" w:hAnsi="Times New Roman" w:cs="Times New Roman"/>
          <w:color w:val="auto"/>
          <w:sz w:val="23"/>
          <w:szCs w:val="23"/>
        </w:rPr>
        <w:t>Individuals can accept advice if it is delivered with care and empathy by individuals that they trust</w:t>
      </w:r>
      <w:r w:rsidR="00480D62">
        <w:rPr>
          <w:rFonts w:ascii="Times New Roman" w:hAnsi="Times New Roman" w:cs="Times New Roman"/>
          <w:color w:val="auto"/>
          <w:sz w:val="23"/>
          <w:szCs w:val="23"/>
        </w:rPr>
        <w:t>; traditionally this has been the local GP or community nurse</w:t>
      </w:r>
      <w:r w:rsidR="00251F7E">
        <w:rPr>
          <w:rFonts w:ascii="Times New Roman" w:hAnsi="Times New Roman" w:cs="Times New Roman"/>
          <w:color w:val="auto"/>
          <w:sz w:val="23"/>
          <w:szCs w:val="23"/>
        </w:rPr>
        <w:t xml:space="preserve">. </w:t>
      </w:r>
      <w:r w:rsidR="00480D62">
        <w:rPr>
          <w:rFonts w:ascii="Times New Roman" w:hAnsi="Times New Roman" w:cs="Times New Roman"/>
          <w:color w:val="auto"/>
          <w:sz w:val="23"/>
          <w:szCs w:val="23"/>
        </w:rPr>
        <w:t>C</w:t>
      </w:r>
      <w:r w:rsidR="00251F7E">
        <w:rPr>
          <w:rFonts w:ascii="Times New Roman" w:hAnsi="Times New Roman" w:cs="Times New Roman"/>
          <w:color w:val="auto"/>
          <w:sz w:val="23"/>
          <w:szCs w:val="23"/>
        </w:rPr>
        <w:t>onflicting information concerning the balance of evidence on benefits and risks may inhibit individuals from accepting specific interventions</w:t>
      </w:r>
      <w:r w:rsidR="00480D62">
        <w:rPr>
          <w:rFonts w:ascii="Times New Roman" w:hAnsi="Times New Roman" w:cs="Times New Roman"/>
          <w:color w:val="auto"/>
          <w:sz w:val="23"/>
          <w:szCs w:val="23"/>
        </w:rPr>
        <w:t>,</w:t>
      </w:r>
      <w:r w:rsidR="00251F7E">
        <w:rPr>
          <w:rFonts w:ascii="Times New Roman" w:hAnsi="Times New Roman" w:cs="Times New Roman"/>
          <w:color w:val="auto"/>
          <w:sz w:val="23"/>
          <w:szCs w:val="23"/>
        </w:rPr>
        <w:t xml:space="preserve"> particularly those intended to prevent a future event rather than to alleviate symptoms/signs of actual disease. Screening technologies which identify disorders for which there is no accepted treatment are unlikely to be broadly accepted. </w:t>
      </w:r>
      <w:proofErr w:type="gramStart"/>
      <w:r w:rsidR="00251F7E">
        <w:rPr>
          <w:rFonts w:ascii="Times New Roman" w:hAnsi="Times New Roman" w:cs="Times New Roman"/>
          <w:color w:val="auto"/>
          <w:sz w:val="23"/>
          <w:szCs w:val="23"/>
        </w:rPr>
        <w:t>Thus</w:t>
      </w:r>
      <w:proofErr w:type="gramEnd"/>
      <w:r w:rsidR="00251F7E">
        <w:rPr>
          <w:rFonts w:ascii="Times New Roman" w:hAnsi="Times New Roman" w:cs="Times New Roman"/>
          <w:color w:val="auto"/>
          <w:sz w:val="23"/>
          <w:szCs w:val="23"/>
        </w:rPr>
        <w:t xml:space="preserve"> diagnostic techniques and treatment programs must be aligned.</w:t>
      </w:r>
    </w:p>
    <w:p w14:paraId="74C75D90" w14:textId="77777777" w:rsidR="002F38E2" w:rsidRPr="00DD6E53" w:rsidRDefault="002F38E2" w:rsidP="00124CC5">
      <w:pPr>
        <w:pStyle w:val="Default"/>
        <w:rPr>
          <w:rFonts w:ascii="Times New Roman" w:hAnsi="Times New Roman" w:cs="Times New Roman"/>
          <w:color w:val="auto"/>
          <w:sz w:val="23"/>
          <w:szCs w:val="23"/>
        </w:rPr>
      </w:pPr>
    </w:p>
    <w:p w14:paraId="1EF31ABB" w14:textId="77777777" w:rsidR="00124CC5" w:rsidRPr="006D5298" w:rsidRDefault="00124CC5" w:rsidP="00487C2F">
      <w:pPr>
        <w:pStyle w:val="Default"/>
        <w:keepNext/>
        <w:rPr>
          <w:rFonts w:ascii="Times New Roman" w:hAnsi="Times New Roman" w:cs="Times New Roman"/>
          <w:color w:val="auto"/>
          <w:sz w:val="23"/>
          <w:szCs w:val="23"/>
        </w:rPr>
      </w:pPr>
      <w:r w:rsidRPr="006D5298">
        <w:rPr>
          <w:rFonts w:ascii="Times New Roman" w:hAnsi="Times New Roman" w:cs="Times New Roman"/>
          <w:b/>
          <w:bCs/>
          <w:color w:val="auto"/>
          <w:sz w:val="23"/>
          <w:szCs w:val="23"/>
        </w:rPr>
        <w:t xml:space="preserve">Industrial strategy </w:t>
      </w:r>
    </w:p>
    <w:p w14:paraId="6F552E7B" w14:textId="55509A60" w:rsidR="00124CC5" w:rsidRDefault="00124CC5" w:rsidP="00487C2F">
      <w:pPr>
        <w:pStyle w:val="Default"/>
        <w:keepNext/>
        <w:spacing w:after="255"/>
        <w:rPr>
          <w:rFonts w:ascii="Times New Roman" w:hAnsi="Times New Roman" w:cs="Times New Roman"/>
          <w:color w:val="auto"/>
          <w:sz w:val="23"/>
          <w:szCs w:val="23"/>
        </w:rPr>
      </w:pPr>
      <w:r w:rsidRPr="006D5298">
        <w:rPr>
          <w:rFonts w:ascii="Times New Roman" w:hAnsi="Times New Roman" w:cs="Times New Roman"/>
          <w:color w:val="auto"/>
          <w:sz w:val="23"/>
          <w:szCs w:val="23"/>
        </w:rPr>
        <w:t xml:space="preserve">9. What opportunities are there for industry in the development of new technologies to help increase health span? In which areas of medical research and technology development does the UK excel? </w:t>
      </w:r>
    </w:p>
    <w:p w14:paraId="543FCE3E" w14:textId="3BFA4CC8" w:rsidR="007907F2" w:rsidRPr="007907F2" w:rsidRDefault="00480D62" w:rsidP="00487C2F">
      <w:pPr>
        <w:pStyle w:val="Default"/>
        <w:keepNext/>
        <w:spacing w:after="255"/>
        <w:rPr>
          <w:rFonts w:ascii="Times New Roman" w:hAnsi="Times New Roman" w:cs="Times New Roman"/>
          <w:color w:val="auto"/>
          <w:sz w:val="23"/>
          <w:szCs w:val="23"/>
        </w:rPr>
      </w:pPr>
      <w:r>
        <w:rPr>
          <w:rFonts w:ascii="Times New Roman" w:hAnsi="Times New Roman" w:cs="Times New Roman"/>
          <w:b/>
          <w:bCs/>
          <w:color w:val="auto"/>
          <w:sz w:val="23"/>
          <w:szCs w:val="23"/>
        </w:rPr>
        <w:t xml:space="preserve">FPM response: </w:t>
      </w:r>
      <w:r w:rsidR="007907F2">
        <w:rPr>
          <w:rFonts w:ascii="Times New Roman" w:hAnsi="Times New Roman" w:cs="Times New Roman"/>
          <w:color w:val="auto"/>
          <w:sz w:val="23"/>
          <w:szCs w:val="23"/>
        </w:rPr>
        <w:t xml:space="preserve">The </w:t>
      </w:r>
      <w:r w:rsidR="00237B3F">
        <w:rPr>
          <w:rFonts w:ascii="Times New Roman" w:hAnsi="Times New Roman" w:cs="Times New Roman"/>
          <w:color w:val="auto"/>
          <w:sz w:val="23"/>
          <w:szCs w:val="23"/>
        </w:rPr>
        <w:t>healthcare industr</w:t>
      </w:r>
      <w:r w:rsidR="00487C2F">
        <w:rPr>
          <w:rFonts w:ascii="Times New Roman" w:hAnsi="Times New Roman" w:cs="Times New Roman"/>
          <w:color w:val="auto"/>
          <w:sz w:val="23"/>
          <w:szCs w:val="23"/>
        </w:rPr>
        <w:t>y</w:t>
      </w:r>
      <w:r w:rsidR="00237B3F">
        <w:rPr>
          <w:rFonts w:ascii="Times New Roman" w:hAnsi="Times New Roman" w:cs="Times New Roman"/>
          <w:color w:val="auto"/>
          <w:sz w:val="23"/>
          <w:szCs w:val="23"/>
        </w:rPr>
        <w:t xml:space="preserve"> ha</w:t>
      </w:r>
      <w:r w:rsidR="00487C2F">
        <w:rPr>
          <w:rFonts w:ascii="Times New Roman" w:hAnsi="Times New Roman" w:cs="Times New Roman"/>
          <w:color w:val="auto"/>
          <w:sz w:val="23"/>
          <w:szCs w:val="23"/>
        </w:rPr>
        <w:t>s</w:t>
      </w:r>
      <w:r w:rsidR="00237B3F">
        <w:rPr>
          <w:rFonts w:ascii="Times New Roman" w:hAnsi="Times New Roman" w:cs="Times New Roman"/>
          <w:color w:val="auto"/>
          <w:sz w:val="23"/>
          <w:szCs w:val="23"/>
        </w:rPr>
        <w:t xml:space="preserve"> been able to respond to perceived need for new </w:t>
      </w:r>
      <w:r w:rsidR="00487C2F">
        <w:rPr>
          <w:rFonts w:ascii="Times New Roman" w:hAnsi="Times New Roman" w:cs="Times New Roman"/>
          <w:color w:val="auto"/>
          <w:sz w:val="23"/>
          <w:szCs w:val="23"/>
        </w:rPr>
        <w:t xml:space="preserve">or improved </w:t>
      </w:r>
      <w:r w:rsidR="00237B3F">
        <w:rPr>
          <w:rFonts w:ascii="Times New Roman" w:hAnsi="Times New Roman" w:cs="Times New Roman"/>
          <w:color w:val="auto"/>
          <w:sz w:val="23"/>
          <w:szCs w:val="23"/>
        </w:rPr>
        <w:t>treatment for established diseas</w:t>
      </w:r>
      <w:r w:rsidR="004B75D8">
        <w:rPr>
          <w:rFonts w:ascii="Times New Roman" w:hAnsi="Times New Roman" w:cs="Times New Roman"/>
          <w:color w:val="auto"/>
          <w:sz w:val="23"/>
          <w:szCs w:val="23"/>
        </w:rPr>
        <w:t>e and will continue to do so</w:t>
      </w:r>
      <w:r w:rsidR="00487C2F">
        <w:rPr>
          <w:rFonts w:ascii="Times New Roman" w:hAnsi="Times New Roman" w:cs="Times New Roman"/>
          <w:color w:val="auto"/>
          <w:sz w:val="23"/>
          <w:szCs w:val="23"/>
        </w:rPr>
        <w:t xml:space="preserve"> provided that there is access to capital and </w:t>
      </w:r>
      <w:r w:rsidR="00FA616F">
        <w:rPr>
          <w:rFonts w:ascii="Times New Roman" w:hAnsi="Times New Roman" w:cs="Times New Roman"/>
          <w:color w:val="auto"/>
          <w:sz w:val="23"/>
          <w:szCs w:val="23"/>
        </w:rPr>
        <w:t>likelihood of uptake of novel medicines once approved</w:t>
      </w:r>
      <w:r w:rsidR="00AF5F86">
        <w:rPr>
          <w:rFonts w:ascii="Times New Roman" w:hAnsi="Times New Roman" w:cs="Times New Roman"/>
          <w:color w:val="auto"/>
          <w:sz w:val="23"/>
          <w:szCs w:val="23"/>
        </w:rPr>
        <w:t>; increased understanding of disease pathways has resulted in novel drugs</w:t>
      </w:r>
      <w:r w:rsidR="00C11483">
        <w:rPr>
          <w:rFonts w:ascii="Times New Roman" w:hAnsi="Times New Roman" w:cs="Times New Roman"/>
          <w:color w:val="auto"/>
          <w:sz w:val="23"/>
          <w:szCs w:val="23"/>
        </w:rPr>
        <w:t xml:space="preserve"> while</w:t>
      </w:r>
      <w:r w:rsidR="00AF5F86">
        <w:rPr>
          <w:rFonts w:ascii="Times New Roman" w:hAnsi="Times New Roman" w:cs="Times New Roman"/>
          <w:color w:val="auto"/>
          <w:sz w:val="23"/>
          <w:szCs w:val="23"/>
        </w:rPr>
        <w:t xml:space="preserve"> </w:t>
      </w:r>
      <w:r w:rsidR="00033A40">
        <w:rPr>
          <w:rFonts w:ascii="Times New Roman" w:hAnsi="Times New Roman" w:cs="Times New Roman"/>
          <w:color w:val="auto"/>
          <w:sz w:val="23"/>
          <w:szCs w:val="23"/>
        </w:rPr>
        <w:t xml:space="preserve">understanding of repair mechanisms has resulted in novel cell based technologies to enhance </w:t>
      </w:r>
      <w:r w:rsidR="00C11483">
        <w:rPr>
          <w:rFonts w:ascii="Times New Roman" w:hAnsi="Times New Roman" w:cs="Times New Roman"/>
          <w:color w:val="auto"/>
          <w:sz w:val="23"/>
          <w:szCs w:val="23"/>
        </w:rPr>
        <w:t>organ and tissue repair</w:t>
      </w:r>
      <w:r w:rsidR="00FA616F">
        <w:rPr>
          <w:rFonts w:ascii="Times New Roman" w:hAnsi="Times New Roman" w:cs="Times New Roman"/>
          <w:color w:val="auto"/>
          <w:sz w:val="23"/>
          <w:szCs w:val="23"/>
        </w:rPr>
        <w:t xml:space="preserve">. The technology industry has made </w:t>
      </w:r>
      <w:r w:rsidR="00DD2D98">
        <w:rPr>
          <w:rFonts w:ascii="Times New Roman" w:hAnsi="Times New Roman" w:cs="Times New Roman"/>
          <w:color w:val="auto"/>
          <w:sz w:val="23"/>
          <w:szCs w:val="23"/>
        </w:rPr>
        <w:t xml:space="preserve">significant change to human communications </w:t>
      </w:r>
      <w:r w:rsidR="00C11483">
        <w:rPr>
          <w:rFonts w:ascii="Times New Roman" w:hAnsi="Times New Roman" w:cs="Times New Roman"/>
          <w:color w:val="auto"/>
          <w:sz w:val="23"/>
          <w:szCs w:val="23"/>
        </w:rPr>
        <w:t>enabling rapid access to</w:t>
      </w:r>
      <w:r w:rsidR="00DD2D98">
        <w:rPr>
          <w:rFonts w:ascii="Times New Roman" w:hAnsi="Times New Roman" w:cs="Times New Roman"/>
          <w:color w:val="auto"/>
          <w:sz w:val="23"/>
          <w:szCs w:val="23"/>
        </w:rPr>
        <w:t xml:space="preserve"> informatio</w:t>
      </w:r>
      <w:r w:rsidR="00C11483">
        <w:rPr>
          <w:rFonts w:ascii="Times New Roman" w:hAnsi="Times New Roman" w:cs="Times New Roman"/>
          <w:color w:val="auto"/>
          <w:sz w:val="23"/>
          <w:szCs w:val="23"/>
        </w:rPr>
        <w:t>n which has empowered individuals to take care of their own health. The industry has</w:t>
      </w:r>
      <w:r w:rsidR="00DD2D98">
        <w:rPr>
          <w:rFonts w:ascii="Times New Roman" w:hAnsi="Times New Roman" w:cs="Times New Roman"/>
          <w:color w:val="auto"/>
          <w:sz w:val="23"/>
          <w:szCs w:val="23"/>
        </w:rPr>
        <w:t xml:space="preserve"> been slower to </w:t>
      </w:r>
      <w:r w:rsidR="00C11483">
        <w:rPr>
          <w:rFonts w:ascii="Times New Roman" w:hAnsi="Times New Roman" w:cs="Times New Roman"/>
          <w:color w:val="auto"/>
          <w:sz w:val="23"/>
          <w:szCs w:val="23"/>
        </w:rPr>
        <w:t xml:space="preserve">invent other </w:t>
      </w:r>
      <w:r w:rsidR="00DD2D98">
        <w:rPr>
          <w:rFonts w:ascii="Times New Roman" w:hAnsi="Times New Roman" w:cs="Times New Roman"/>
          <w:color w:val="auto"/>
          <w:sz w:val="23"/>
          <w:szCs w:val="23"/>
        </w:rPr>
        <w:t>technologies for healthcare purposes</w:t>
      </w:r>
      <w:r w:rsidR="00C11483">
        <w:rPr>
          <w:rFonts w:ascii="Times New Roman" w:hAnsi="Times New Roman" w:cs="Times New Roman"/>
          <w:color w:val="auto"/>
          <w:sz w:val="23"/>
          <w:szCs w:val="23"/>
        </w:rPr>
        <w:t xml:space="preserve"> </w:t>
      </w:r>
      <w:r w:rsidR="003E72B4">
        <w:rPr>
          <w:rFonts w:ascii="Times New Roman" w:hAnsi="Times New Roman" w:cs="Times New Roman"/>
          <w:color w:val="auto"/>
          <w:sz w:val="23"/>
          <w:szCs w:val="23"/>
        </w:rPr>
        <w:t xml:space="preserve">in part due to relative rarity of conditions amenable to technological device support and in part due to </w:t>
      </w:r>
      <w:r w:rsidR="00241215">
        <w:rPr>
          <w:rFonts w:ascii="Times New Roman" w:hAnsi="Times New Roman" w:cs="Times New Roman"/>
          <w:color w:val="auto"/>
          <w:sz w:val="23"/>
          <w:szCs w:val="23"/>
        </w:rPr>
        <w:t>perceived slow uptake of technology already available</w:t>
      </w:r>
      <w:r w:rsidR="00DD2D98">
        <w:rPr>
          <w:rFonts w:ascii="Times New Roman" w:hAnsi="Times New Roman" w:cs="Times New Roman"/>
          <w:color w:val="auto"/>
          <w:sz w:val="23"/>
          <w:szCs w:val="23"/>
        </w:rPr>
        <w:t xml:space="preserve">. </w:t>
      </w:r>
      <w:r w:rsidR="00F977F7">
        <w:rPr>
          <w:rFonts w:ascii="Times New Roman" w:hAnsi="Times New Roman" w:cs="Times New Roman"/>
          <w:color w:val="auto"/>
          <w:sz w:val="23"/>
          <w:szCs w:val="23"/>
        </w:rPr>
        <w:t>Providing defined challenges for which technological solutions might be devised could encourage greater innovation in devising specific technology to meet the</w:t>
      </w:r>
      <w:r w:rsidR="00241215">
        <w:rPr>
          <w:rFonts w:ascii="Times New Roman" w:hAnsi="Times New Roman" w:cs="Times New Roman"/>
          <w:color w:val="auto"/>
          <w:sz w:val="23"/>
          <w:szCs w:val="23"/>
        </w:rPr>
        <w:t xml:space="preserve">se needs while preparedness to rapidly adopt approved technology would enhance </w:t>
      </w:r>
      <w:r w:rsidR="00A114E7">
        <w:rPr>
          <w:rFonts w:ascii="Times New Roman" w:hAnsi="Times New Roman" w:cs="Times New Roman"/>
          <w:color w:val="auto"/>
          <w:sz w:val="23"/>
          <w:szCs w:val="23"/>
        </w:rPr>
        <w:t xml:space="preserve">industrial innovation in general. </w:t>
      </w:r>
      <w:r w:rsidR="00F977F7">
        <w:rPr>
          <w:rFonts w:ascii="Times New Roman" w:hAnsi="Times New Roman" w:cs="Times New Roman"/>
          <w:color w:val="auto"/>
          <w:sz w:val="23"/>
          <w:szCs w:val="23"/>
        </w:rPr>
        <w:t>The UK excels in many areas of medicines development and in compute</w:t>
      </w:r>
      <w:r w:rsidR="00946009">
        <w:rPr>
          <w:rFonts w:ascii="Times New Roman" w:hAnsi="Times New Roman" w:cs="Times New Roman"/>
          <w:color w:val="auto"/>
          <w:sz w:val="23"/>
          <w:szCs w:val="23"/>
        </w:rPr>
        <w:t xml:space="preserve">r, transport and small </w:t>
      </w:r>
      <w:r w:rsidR="00F977F7">
        <w:rPr>
          <w:rFonts w:ascii="Times New Roman" w:hAnsi="Times New Roman" w:cs="Times New Roman"/>
          <w:color w:val="auto"/>
          <w:sz w:val="23"/>
          <w:szCs w:val="23"/>
        </w:rPr>
        <w:t>device technologies</w:t>
      </w:r>
      <w:r w:rsidR="006150B4">
        <w:rPr>
          <w:rFonts w:ascii="Times New Roman" w:hAnsi="Times New Roman" w:cs="Times New Roman"/>
          <w:color w:val="auto"/>
          <w:sz w:val="23"/>
          <w:szCs w:val="23"/>
        </w:rPr>
        <w:t xml:space="preserve"> as well as in vitro diagnostic tools</w:t>
      </w:r>
      <w:r w:rsidR="00A114E7">
        <w:rPr>
          <w:rFonts w:ascii="Times New Roman" w:hAnsi="Times New Roman" w:cs="Times New Roman"/>
          <w:color w:val="auto"/>
          <w:sz w:val="23"/>
          <w:szCs w:val="23"/>
        </w:rPr>
        <w:t xml:space="preserve"> and is thus well placed to drive this change. </w:t>
      </w:r>
    </w:p>
    <w:p w14:paraId="31E50784" w14:textId="62EE7AC7" w:rsidR="00124CC5" w:rsidRDefault="00124CC5" w:rsidP="00124CC5">
      <w:pPr>
        <w:pStyle w:val="Default"/>
        <w:rPr>
          <w:rFonts w:ascii="Times New Roman" w:hAnsi="Times New Roman" w:cs="Times New Roman"/>
          <w:color w:val="auto"/>
          <w:sz w:val="23"/>
          <w:szCs w:val="23"/>
        </w:rPr>
      </w:pPr>
      <w:r w:rsidRPr="006D5298">
        <w:rPr>
          <w:rFonts w:ascii="Times New Roman" w:hAnsi="Times New Roman" w:cs="Times New Roman"/>
          <w:color w:val="auto"/>
          <w:sz w:val="23"/>
          <w:szCs w:val="23"/>
        </w:rPr>
        <w:t xml:space="preserve">10. What more is required for the UK to benefit from commercialisation of its discoveries and inventions relating to healthy ageing, as envisioned by the Government’s Industrial Strategy? </w:t>
      </w:r>
    </w:p>
    <w:p w14:paraId="5F28055B" w14:textId="77777777" w:rsidR="006150B4" w:rsidRDefault="006150B4" w:rsidP="00124CC5">
      <w:pPr>
        <w:pStyle w:val="Default"/>
        <w:rPr>
          <w:rFonts w:ascii="Times New Roman" w:hAnsi="Times New Roman" w:cs="Times New Roman"/>
          <w:b/>
          <w:bCs/>
          <w:color w:val="auto"/>
          <w:sz w:val="23"/>
          <w:szCs w:val="23"/>
        </w:rPr>
      </w:pPr>
    </w:p>
    <w:p w14:paraId="71E90878" w14:textId="64AEC038" w:rsidR="006150B4" w:rsidRPr="006150B4" w:rsidRDefault="006150B4" w:rsidP="00124CC5">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FPM response: </w:t>
      </w:r>
      <w:r w:rsidR="007804CE">
        <w:rPr>
          <w:rFonts w:ascii="Times New Roman" w:hAnsi="Times New Roman" w:cs="Times New Roman"/>
          <w:color w:val="auto"/>
          <w:sz w:val="23"/>
          <w:szCs w:val="23"/>
        </w:rPr>
        <w:t xml:space="preserve">Innovation is expensive and maintenance of access to capital, </w:t>
      </w:r>
      <w:r w:rsidR="00A114E7">
        <w:rPr>
          <w:rFonts w:ascii="Times New Roman" w:hAnsi="Times New Roman" w:cs="Times New Roman"/>
          <w:color w:val="auto"/>
          <w:sz w:val="23"/>
          <w:szCs w:val="23"/>
        </w:rPr>
        <w:t>effective patent protection mechanisms</w:t>
      </w:r>
      <w:r w:rsidR="00274B25">
        <w:rPr>
          <w:rFonts w:ascii="Times New Roman" w:hAnsi="Times New Roman" w:cs="Times New Roman"/>
          <w:color w:val="auto"/>
          <w:sz w:val="23"/>
          <w:szCs w:val="23"/>
        </w:rPr>
        <w:t xml:space="preserve"> and </w:t>
      </w:r>
      <w:r w:rsidR="007804CE">
        <w:rPr>
          <w:rFonts w:ascii="Times New Roman" w:hAnsi="Times New Roman" w:cs="Times New Roman"/>
          <w:color w:val="auto"/>
          <w:sz w:val="23"/>
          <w:szCs w:val="23"/>
        </w:rPr>
        <w:t xml:space="preserve">an educated scientific and </w:t>
      </w:r>
      <w:r w:rsidR="00B169F9">
        <w:rPr>
          <w:rFonts w:ascii="Times New Roman" w:hAnsi="Times New Roman" w:cs="Times New Roman"/>
          <w:color w:val="auto"/>
          <w:sz w:val="23"/>
          <w:szCs w:val="23"/>
        </w:rPr>
        <w:t>engineering</w:t>
      </w:r>
      <w:r w:rsidR="007804CE">
        <w:rPr>
          <w:rFonts w:ascii="Times New Roman" w:hAnsi="Times New Roman" w:cs="Times New Roman"/>
          <w:color w:val="auto"/>
          <w:sz w:val="23"/>
          <w:szCs w:val="23"/>
        </w:rPr>
        <w:t xml:space="preserve"> workforce i</w:t>
      </w:r>
      <w:r w:rsidR="00B169F9">
        <w:rPr>
          <w:rFonts w:ascii="Times New Roman" w:hAnsi="Times New Roman" w:cs="Times New Roman"/>
          <w:color w:val="auto"/>
          <w:sz w:val="23"/>
          <w:szCs w:val="23"/>
        </w:rPr>
        <w:t>s critical</w:t>
      </w:r>
      <w:r w:rsidR="00274B25">
        <w:rPr>
          <w:rFonts w:ascii="Times New Roman" w:hAnsi="Times New Roman" w:cs="Times New Roman"/>
          <w:color w:val="auto"/>
          <w:sz w:val="23"/>
          <w:szCs w:val="23"/>
        </w:rPr>
        <w:t xml:space="preserve"> as well as rapid uptake of resulting innovations in practice</w:t>
      </w:r>
      <w:r w:rsidR="00B169F9">
        <w:rPr>
          <w:rFonts w:ascii="Times New Roman" w:hAnsi="Times New Roman" w:cs="Times New Roman"/>
          <w:color w:val="auto"/>
          <w:sz w:val="23"/>
          <w:szCs w:val="23"/>
        </w:rPr>
        <w:t>.</w:t>
      </w:r>
      <w:r w:rsidR="007804CE">
        <w:rPr>
          <w:rFonts w:ascii="Times New Roman" w:hAnsi="Times New Roman" w:cs="Times New Roman"/>
          <w:color w:val="auto"/>
          <w:sz w:val="23"/>
          <w:szCs w:val="23"/>
        </w:rPr>
        <w:t xml:space="preserve"> </w:t>
      </w:r>
    </w:p>
    <w:p w14:paraId="3A5E1CE8" w14:textId="77777777" w:rsidR="00124CC5" w:rsidRPr="006D5298" w:rsidRDefault="00124CC5" w:rsidP="00124CC5">
      <w:pPr>
        <w:pStyle w:val="Default"/>
        <w:rPr>
          <w:rFonts w:ascii="Times New Roman" w:hAnsi="Times New Roman" w:cs="Times New Roman"/>
          <w:color w:val="auto"/>
          <w:sz w:val="23"/>
          <w:szCs w:val="23"/>
        </w:rPr>
      </w:pPr>
    </w:p>
    <w:p w14:paraId="4787D4D6" w14:textId="77777777" w:rsidR="00124CC5" w:rsidRPr="006D5298" w:rsidRDefault="00124CC5" w:rsidP="00124CC5">
      <w:pPr>
        <w:pStyle w:val="Default"/>
        <w:rPr>
          <w:rFonts w:ascii="Times New Roman" w:hAnsi="Times New Roman" w:cs="Times New Roman"/>
          <w:color w:val="auto"/>
          <w:sz w:val="23"/>
          <w:szCs w:val="23"/>
        </w:rPr>
      </w:pPr>
      <w:r w:rsidRPr="006D5298">
        <w:rPr>
          <w:rFonts w:ascii="Times New Roman" w:hAnsi="Times New Roman" w:cs="Times New Roman"/>
          <w:b/>
          <w:bCs/>
          <w:color w:val="auto"/>
          <w:sz w:val="23"/>
          <w:szCs w:val="23"/>
        </w:rPr>
        <w:t xml:space="preserve">Healthier ageing </w:t>
      </w:r>
    </w:p>
    <w:p w14:paraId="17BB18C7" w14:textId="1AB73B4D" w:rsidR="00124CC5" w:rsidRDefault="00D961FD" w:rsidP="00D961FD">
      <w:pPr>
        <w:pStyle w:val="Default"/>
        <w:rPr>
          <w:rFonts w:ascii="Times New Roman" w:hAnsi="Times New Roman" w:cs="Times New Roman"/>
          <w:color w:val="auto"/>
          <w:sz w:val="23"/>
          <w:szCs w:val="23"/>
        </w:rPr>
      </w:pPr>
      <w:r>
        <w:rPr>
          <w:rFonts w:ascii="Times New Roman" w:hAnsi="Times New Roman" w:cs="Times New Roman"/>
          <w:color w:val="auto"/>
          <w:sz w:val="23"/>
          <w:szCs w:val="23"/>
        </w:rPr>
        <w:t>11.</w:t>
      </w:r>
      <w:r w:rsidR="00124CC5" w:rsidRPr="006D5298">
        <w:rPr>
          <w:rFonts w:ascii="Times New Roman" w:hAnsi="Times New Roman" w:cs="Times New Roman"/>
          <w:color w:val="auto"/>
          <w:sz w:val="23"/>
          <w:szCs w:val="23"/>
        </w:rPr>
        <w:t xml:space="preserve"> How feasible is the Government’s aim to provide five more years of health and independence in old age by 2035? </w:t>
      </w:r>
      <w:r w:rsidR="009057D4" w:rsidRPr="006D5298">
        <w:rPr>
          <w:rFonts w:ascii="Times New Roman" w:hAnsi="Times New Roman" w:cs="Times New Roman"/>
          <w:color w:val="auto"/>
          <w:sz w:val="23"/>
          <w:szCs w:val="23"/>
        </w:rPr>
        <w:t xml:space="preserve">12. To what extent are inequalities in healthy ageing, as well as differences in acceptance of technologies, a barrier to achieving the aims of the Government’s Ageing Society Grand Challenge? 13. What would be the implications of a paradigm shift to people leading healthier lives for longer, and spending less time suffering ill health? </w:t>
      </w:r>
    </w:p>
    <w:p w14:paraId="39294116" w14:textId="77777777" w:rsidR="009057D4" w:rsidRDefault="009057D4" w:rsidP="00B169F9">
      <w:pPr>
        <w:pStyle w:val="Default"/>
        <w:numPr>
          <w:ilvl w:val="1"/>
          <w:numId w:val="6"/>
        </w:numPr>
        <w:spacing w:after="176"/>
        <w:rPr>
          <w:rFonts w:ascii="Times New Roman" w:hAnsi="Times New Roman" w:cs="Times New Roman"/>
          <w:color w:val="auto"/>
          <w:sz w:val="23"/>
          <w:szCs w:val="23"/>
        </w:rPr>
      </w:pPr>
    </w:p>
    <w:p w14:paraId="482FCE26" w14:textId="427549A5" w:rsidR="00B169F9" w:rsidRPr="00B169F9" w:rsidRDefault="00B169F9" w:rsidP="00B169F9">
      <w:pPr>
        <w:pStyle w:val="Default"/>
        <w:numPr>
          <w:ilvl w:val="1"/>
          <w:numId w:val="6"/>
        </w:numPr>
        <w:spacing w:after="176"/>
        <w:rPr>
          <w:rFonts w:ascii="Times New Roman" w:hAnsi="Times New Roman" w:cs="Times New Roman"/>
          <w:b/>
          <w:bCs/>
          <w:color w:val="auto"/>
          <w:sz w:val="23"/>
          <w:szCs w:val="23"/>
        </w:rPr>
      </w:pPr>
      <w:r w:rsidRPr="00B169F9">
        <w:rPr>
          <w:rFonts w:ascii="Times New Roman" w:hAnsi="Times New Roman" w:cs="Times New Roman"/>
          <w:b/>
          <w:bCs/>
          <w:color w:val="auto"/>
          <w:sz w:val="23"/>
          <w:szCs w:val="23"/>
        </w:rPr>
        <w:t xml:space="preserve">FPM response: </w:t>
      </w:r>
      <w:r w:rsidR="004C0713">
        <w:rPr>
          <w:rFonts w:ascii="Times New Roman" w:hAnsi="Times New Roman" w:cs="Times New Roman"/>
          <w:color w:val="auto"/>
          <w:sz w:val="23"/>
          <w:szCs w:val="23"/>
        </w:rPr>
        <w:t>Without a significant shift in</w:t>
      </w:r>
      <w:r w:rsidR="005731D1">
        <w:rPr>
          <w:rFonts w:ascii="Times New Roman" w:hAnsi="Times New Roman" w:cs="Times New Roman"/>
          <w:color w:val="auto"/>
          <w:sz w:val="23"/>
          <w:szCs w:val="23"/>
        </w:rPr>
        <w:t xml:space="preserve"> the lifestyle choices of</w:t>
      </w:r>
      <w:r w:rsidR="004C0713">
        <w:rPr>
          <w:rFonts w:ascii="Times New Roman" w:hAnsi="Times New Roman" w:cs="Times New Roman"/>
          <w:color w:val="auto"/>
          <w:sz w:val="23"/>
          <w:szCs w:val="23"/>
        </w:rPr>
        <w:t xml:space="preserve"> </w:t>
      </w:r>
      <w:r w:rsidR="005731D1">
        <w:rPr>
          <w:rFonts w:ascii="Times New Roman" w:hAnsi="Times New Roman" w:cs="Times New Roman"/>
          <w:color w:val="auto"/>
          <w:sz w:val="23"/>
          <w:szCs w:val="23"/>
        </w:rPr>
        <w:t xml:space="preserve">adults currently in </w:t>
      </w:r>
      <w:r w:rsidR="004C0713">
        <w:rPr>
          <w:rFonts w:ascii="Times New Roman" w:hAnsi="Times New Roman" w:cs="Times New Roman"/>
          <w:color w:val="auto"/>
          <w:sz w:val="23"/>
          <w:szCs w:val="23"/>
        </w:rPr>
        <w:t xml:space="preserve">middle age </w:t>
      </w:r>
      <w:r w:rsidR="005731D1">
        <w:rPr>
          <w:rFonts w:ascii="Times New Roman" w:hAnsi="Times New Roman" w:cs="Times New Roman"/>
          <w:color w:val="auto"/>
          <w:sz w:val="23"/>
          <w:szCs w:val="23"/>
        </w:rPr>
        <w:t xml:space="preserve">the government’s </w:t>
      </w:r>
      <w:r w:rsidR="004C0713">
        <w:rPr>
          <w:rFonts w:ascii="Times New Roman" w:hAnsi="Times New Roman" w:cs="Times New Roman"/>
          <w:color w:val="auto"/>
          <w:sz w:val="23"/>
          <w:szCs w:val="23"/>
        </w:rPr>
        <w:t>aim may</w:t>
      </w:r>
      <w:r w:rsidR="005731D1">
        <w:rPr>
          <w:rFonts w:ascii="Times New Roman" w:hAnsi="Times New Roman" w:cs="Times New Roman"/>
          <w:color w:val="auto"/>
          <w:sz w:val="23"/>
          <w:szCs w:val="23"/>
        </w:rPr>
        <w:t xml:space="preserve"> not be feasible, as much will depend on widespread adoption of healthier lifestyles</w:t>
      </w:r>
      <w:r w:rsidR="00E17ED8">
        <w:rPr>
          <w:rFonts w:ascii="Times New Roman" w:hAnsi="Times New Roman" w:cs="Times New Roman"/>
          <w:color w:val="auto"/>
          <w:sz w:val="23"/>
          <w:szCs w:val="23"/>
        </w:rPr>
        <w:t xml:space="preserve"> by high risk groups</w:t>
      </w:r>
      <w:r w:rsidR="00991549">
        <w:rPr>
          <w:rFonts w:ascii="Times New Roman" w:hAnsi="Times New Roman" w:cs="Times New Roman"/>
          <w:color w:val="auto"/>
          <w:sz w:val="23"/>
          <w:szCs w:val="23"/>
        </w:rPr>
        <w:t xml:space="preserve"> within a short timeframe</w:t>
      </w:r>
      <w:r w:rsidR="00E17ED8">
        <w:rPr>
          <w:rFonts w:ascii="Times New Roman" w:hAnsi="Times New Roman" w:cs="Times New Roman"/>
          <w:color w:val="auto"/>
          <w:sz w:val="23"/>
          <w:szCs w:val="23"/>
        </w:rPr>
        <w:t xml:space="preserve">. To address this more effort will be needed to provide information, accessible services and support networks in </w:t>
      </w:r>
      <w:r w:rsidR="00E60364">
        <w:rPr>
          <w:rFonts w:ascii="Times New Roman" w:hAnsi="Times New Roman" w:cs="Times New Roman"/>
          <w:color w:val="auto"/>
          <w:sz w:val="23"/>
          <w:szCs w:val="23"/>
        </w:rPr>
        <w:t xml:space="preserve">areas with high proportions of </w:t>
      </w:r>
      <w:proofErr w:type="gramStart"/>
      <w:r w:rsidR="00E60364">
        <w:rPr>
          <w:rFonts w:ascii="Times New Roman" w:hAnsi="Times New Roman" w:cs="Times New Roman"/>
          <w:color w:val="auto"/>
          <w:sz w:val="23"/>
          <w:szCs w:val="23"/>
        </w:rPr>
        <w:t>high risk</w:t>
      </w:r>
      <w:proofErr w:type="gramEnd"/>
      <w:r w:rsidR="00E60364">
        <w:rPr>
          <w:rFonts w:ascii="Times New Roman" w:hAnsi="Times New Roman" w:cs="Times New Roman"/>
          <w:color w:val="auto"/>
          <w:sz w:val="23"/>
          <w:szCs w:val="23"/>
        </w:rPr>
        <w:t xml:space="preserve"> adults.</w:t>
      </w:r>
      <w:r w:rsidR="00991549">
        <w:rPr>
          <w:rFonts w:ascii="Times New Roman" w:hAnsi="Times New Roman" w:cs="Times New Roman"/>
          <w:color w:val="auto"/>
          <w:sz w:val="23"/>
          <w:szCs w:val="23"/>
        </w:rPr>
        <w:t xml:space="preserve"> Schools can do much to teach children about healthy life</w:t>
      </w:r>
      <w:r w:rsidR="0018799E">
        <w:rPr>
          <w:rFonts w:ascii="Times New Roman" w:hAnsi="Times New Roman" w:cs="Times New Roman"/>
          <w:color w:val="auto"/>
          <w:sz w:val="23"/>
          <w:szCs w:val="23"/>
        </w:rPr>
        <w:t xml:space="preserve">styles and influence parents via their children. </w:t>
      </w:r>
      <w:r w:rsidR="008057BB">
        <w:rPr>
          <w:rFonts w:ascii="Times New Roman" w:hAnsi="Times New Roman" w:cs="Times New Roman"/>
          <w:color w:val="auto"/>
          <w:sz w:val="23"/>
          <w:szCs w:val="23"/>
        </w:rPr>
        <w:t>Encouragement of healthy workplaces</w:t>
      </w:r>
      <w:r w:rsidR="003A2814">
        <w:rPr>
          <w:rFonts w:ascii="Times New Roman" w:hAnsi="Times New Roman" w:cs="Times New Roman"/>
          <w:color w:val="auto"/>
          <w:sz w:val="23"/>
          <w:szCs w:val="23"/>
        </w:rPr>
        <w:t>,</w:t>
      </w:r>
      <w:r w:rsidR="008057BB">
        <w:rPr>
          <w:rFonts w:ascii="Times New Roman" w:hAnsi="Times New Roman" w:cs="Times New Roman"/>
          <w:color w:val="auto"/>
          <w:sz w:val="23"/>
          <w:szCs w:val="23"/>
        </w:rPr>
        <w:t xml:space="preserve"> if </w:t>
      </w:r>
      <w:proofErr w:type="gramStart"/>
      <w:r w:rsidR="008057BB">
        <w:rPr>
          <w:rFonts w:ascii="Times New Roman" w:hAnsi="Times New Roman" w:cs="Times New Roman"/>
          <w:color w:val="auto"/>
          <w:sz w:val="23"/>
          <w:szCs w:val="23"/>
        </w:rPr>
        <w:t>necessary</w:t>
      </w:r>
      <w:proofErr w:type="gramEnd"/>
      <w:r w:rsidR="008057BB">
        <w:rPr>
          <w:rFonts w:ascii="Times New Roman" w:hAnsi="Times New Roman" w:cs="Times New Roman"/>
          <w:color w:val="auto"/>
          <w:sz w:val="23"/>
          <w:szCs w:val="23"/>
        </w:rPr>
        <w:t xml:space="preserve"> via health and safety legis</w:t>
      </w:r>
      <w:r w:rsidR="003A2814">
        <w:rPr>
          <w:rFonts w:ascii="Times New Roman" w:hAnsi="Times New Roman" w:cs="Times New Roman"/>
          <w:color w:val="auto"/>
          <w:sz w:val="23"/>
          <w:szCs w:val="23"/>
        </w:rPr>
        <w:t>l</w:t>
      </w:r>
      <w:r w:rsidR="008057BB">
        <w:rPr>
          <w:rFonts w:ascii="Times New Roman" w:hAnsi="Times New Roman" w:cs="Times New Roman"/>
          <w:color w:val="auto"/>
          <w:sz w:val="23"/>
          <w:szCs w:val="23"/>
        </w:rPr>
        <w:t>ation</w:t>
      </w:r>
      <w:r w:rsidR="003A2814">
        <w:rPr>
          <w:rFonts w:ascii="Times New Roman" w:hAnsi="Times New Roman" w:cs="Times New Roman"/>
          <w:color w:val="auto"/>
          <w:sz w:val="23"/>
          <w:szCs w:val="23"/>
        </w:rPr>
        <w:t xml:space="preserve">, can carry these efforts forward to the workplace. If a significant </w:t>
      </w:r>
      <w:r w:rsidR="003A2814">
        <w:rPr>
          <w:rFonts w:ascii="Times New Roman" w:hAnsi="Times New Roman" w:cs="Times New Roman"/>
          <w:color w:val="auto"/>
          <w:sz w:val="23"/>
          <w:szCs w:val="23"/>
        </w:rPr>
        <w:lastRenderedPageBreak/>
        <w:t xml:space="preserve">proportion of individuals live longer, healthier lives, current retirement ages may be increased to facilitate </w:t>
      </w:r>
      <w:r w:rsidR="0087732A">
        <w:rPr>
          <w:rFonts w:ascii="Times New Roman" w:hAnsi="Times New Roman" w:cs="Times New Roman"/>
          <w:color w:val="auto"/>
          <w:sz w:val="23"/>
          <w:szCs w:val="23"/>
        </w:rPr>
        <w:t>increased employment opportunity and career enhancement for workers of older age</w:t>
      </w:r>
      <w:r w:rsidR="006C237B">
        <w:rPr>
          <w:rFonts w:ascii="Times New Roman" w:hAnsi="Times New Roman" w:cs="Times New Roman"/>
          <w:color w:val="auto"/>
          <w:sz w:val="23"/>
          <w:szCs w:val="23"/>
        </w:rPr>
        <w:t xml:space="preserve">. Access to training </w:t>
      </w:r>
      <w:r w:rsidR="00F84563">
        <w:rPr>
          <w:rFonts w:ascii="Times New Roman" w:hAnsi="Times New Roman" w:cs="Times New Roman"/>
          <w:color w:val="auto"/>
          <w:sz w:val="23"/>
          <w:szCs w:val="23"/>
        </w:rPr>
        <w:t xml:space="preserve">and education </w:t>
      </w:r>
      <w:r w:rsidR="006C237B">
        <w:rPr>
          <w:rFonts w:ascii="Times New Roman" w:hAnsi="Times New Roman" w:cs="Times New Roman"/>
          <w:color w:val="auto"/>
          <w:sz w:val="23"/>
          <w:szCs w:val="23"/>
        </w:rPr>
        <w:t>should not be age restricted and mentoring of younger by older workers may enhance mutual understanding and respect</w:t>
      </w:r>
      <w:r w:rsidR="00C102D1">
        <w:rPr>
          <w:rFonts w:ascii="Times New Roman" w:hAnsi="Times New Roman" w:cs="Times New Roman"/>
          <w:color w:val="auto"/>
          <w:sz w:val="23"/>
          <w:szCs w:val="23"/>
        </w:rPr>
        <w:t xml:space="preserve">. </w:t>
      </w:r>
    </w:p>
    <w:p w14:paraId="7FB23752" w14:textId="77777777" w:rsidR="00124CC5" w:rsidRPr="006D5298" w:rsidRDefault="00124CC5" w:rsidP="00124CC5">
      <w:pPr>
        <w:pStyle w:val="Default"/>
        <w:numPr>
          <w:ilvl w:val="1"/>
          <w:numId w:val="6"/>
        </w:numPr>
        <w:rPr>
          <w:rFonts w:ascii="Times New Roman" w:hAnsi="Times New Roman" w:cs="Times New Roman"/>
          <w:color w:val="auto"/>
          <w:sz w:val="23"/>
          <w:szCs w:val="23"/>
        </w:rPr>
      </w:pPr>
    </w:p>
    <w:p w14:paraId="73014B5C" w14:textId="462B9C8C" w:rsidR="00124CC5" w:rsidRPr="006D5298" w:rsidRDefault="00124CC5" w:rsidP="00124CC5">
      <w:pPr>
        <w:pStyle w:val="Default"/>
        <w:rPr>
          <w:rFonts w:ascii="Times New Roman" w:hAnsi="Times New Roman" w:cs="Times New Roman"/>
          <w:color w:val="auto"/>
          <w:sz w:val="22"/>
          <w:szCs w:val="22"/>
        </w:rPr>
      </w:pPr>
    </w:p>
    <w:p w14:paraId="13B4EAF5" w14:textId="77777777" w:rsidR="00124CC5" w:rsidRPr="006D5298" w:rsidRDefault="00124CC5" w:rsidP="00124CC5">
      <w:pPr>
        <w:pStyle w:val="Default"/>
        <w:rPr>
          <w:rFonts w:ascii="Times New Roman" w:hAnsi="Times New Roman" w:cs="Times New Roman"/>
          <w:color w:val="auto"/>
        </w:rPr>
      </w:pPr>
    </w:p>
    <w:p w14:paraId="1EA66716" w14:textId="77777777" w:rsidR="00124CC5" w:rsidRPr="006D5298" w:rsidRDefault="00124CC5" w:rsidP="00124CC5">
      <w:pPr>
        <w:pStyle w:val="Default"/>
        <w:pageBreakBefore/>
        <w:rPr>
          <w:rFonts w:ascii="Times New Roman" w:hAnsi="Times New Roman" w:cs="Times New Roman"/>
          <w:color w:val="auto"/>
        </w:rPr>
      </w:pPr>
    </w:p>
    <w:p w14:paraId="1911EF26" w14:textId="1CF64184" w:rsidR="00331739" w:rsidRDefault="00331739" w:rsidP="009057D4">
      <w:pPr>
        <w:pStyle w:val="Heading1"/>
      </w:pPr>
      <w:r>
        <w:t>References</w:t>
      </w:r>
    </w:p>
    <w:p w14:paraId="2E3C2159" w14:textId="76F0D469" w:rsidR="00331739" w:rsidRPr="006D5298" w:rsidRDefault="00331739" w:rsidP="00331739">
      <w:pPr>
        <w:pStyle w:val="Default"/>
        <w:numPr>
          <w:ilvl w:val="0"/>
          <w:numId w:val="9"/>
        </w:numPr>
        <w:rPr>
          <w:rFonts w:ascii="Times New Roman" w:hAnsi="Times New Roman" w:cs="Times New Roman"/>
          <w:color w:val="auto"/>
          <w:sz w:val="22"/>
          <w:szCs w:val="22"/>
        </w:rPr>
      </w:pPr>
      <w:proofErr w:type="spellStart"/>
      <w:r w:rsidRPr="006D5298">
        <w:rPr>
          <w:rFonts w:ascii="Times New Roman" w:hAnsi="Times New Roman" w:cs="Times New Roman"/>
          <w:sz w:val="22"/>
          <w:szCs w:val="22"/>
          <w:shd w:val="clear" w:color="auto" w:fill="FFFFFF"/>
        </w:rPr>
        <w:t>Müezzinler</w:t>
      </w:r>
      <w:proofErr w:type="spellEnd"/>
      <w:r w:rsidRPr="006D5298">
        <w:rPr>
          <w:rFonts w:ascii="Times New Roman" w:hAnsi="Times New Roman" w:cs="Times New Roman"/>
          <w:sz w:val="22"/>
          <w:szCs w:val="22"/>
          <w:shd w:val="clear" w:color="auto" w:fill="FFFFFF"/>
        </w:rPr>
        <w:t xml:space="preserve"> A, </w:t>
      </w:r>
      <w:proofErr w:type="spellStart"/>
      <w:r w:rsidRPr="006D5298">
        <w:rPr>
          <w:rFonts w:ascii="Times New Roman" w:hAnsi="Times New Roman" w:cs="Times New Roman"/>
          <w:sz w:val="22"/>
          <w:szCs w:val="22"/>
          <w:shd w:val="clear" w:color="auto" w:fill="FFFFFF"/>
        </w:rPr>
        <w:t>Zaineddin</w:t>
      </w:r>
      <w:proofErr w:type="spellEnd"/>
      <w:r w:rsidRPr="006D5298">
        <w:rPr>
          <w:rFonts w:ascii="Times New Roman" w:hAnsi="Times New Roman" w:cs="Times New Roman"/>
          <w:sz w:val="22"/>
          <w:szCs w:val="22"/>
          <w:shd w:val="clear" w:color="auto" w:fill="FFFFFF"/>
        </w:rPr>
        <w:t xml:space="preserve"> AK, Brenner H. </w:t>
      </w:r>
      <w:r w:rsidRPr="006D5298">
        <w:rPr>
          <w:rStyle w:val="ref-title"/>
          <w:rFonts w:ascii="Times New Roman" w:hAnsi="Times New Roman" w:cs="Times New Roman"/>
          <w:sz w:val="22"/>
          <w:szCs w:val="22"/>
          <w:shd w:val="clear" w:color="auto" w:fill="FFFFFF"/>
        </w:rPr>
        <w:t>A systematic review of leukocyte telomere length and age in adults</w:t>
      </w:r>
      <w:r w:rsidRPr="006D5298">
        <w:rPr>
          <w:rFonts w:ascii="Times New Roman" w:hAnsi="Times New Roman" w:cs="Times New Roman"/>
          <w:sz w:val="22"/>
          <w:szCs w:val="22"/>
          <w:shd w:val="clear" w:color="auto" w:fill="FFFFFF"/>
        </w:rPr>
        <w:t>. </w:t>
      </w:r>
      <w:r w:rsidRPr="006D5298">
        <w:rPr>
          <w:rStyle w:val="ref-journal"/>
          <w:rFonts w:ascii="Times New Roman" w:hAnsi="Times New Roman" w:cs="Times New Roman"/>
          <w:sz w:val="22"/>
          <w:szCs w:val="22"/>
          <w:shd w:val="clear" w:color="auto" w:fill="FFFFFF"/>
        </w:rPr>
        <w:t>Ageing Res Rev</w:t>
      </w:r>
      <w:r w:rsidRPr="006D5298">
        <w:rPr>
          <w:rFonts w:ascii="Times New Roman" w:hAnsi="Times New Roman" w:cs="Times New Roman"/>
          <w:sz w:val="22"/>
          <w:szCs w:val="22"/>
          <w:shd w:val="clear" w:color="auto" w:fill="FFFFFF"/>
        </w:rPr>
        <w:t> </w:t>
      </w:r>
      <w:proofErr w:type="gramStart"/>
      <w:r w:rsidRPr="006D5298">
        <w:rPr>
          <w:rFonts w:ascii="Times New Roman" w:hAnsi="Times New Roman" w:cs="Times New Roman"/>
          <w:sz w:val="22"/>
          <w:szCs w:val="22"/>
          <w:shd w:val="clear" w:color="auto" w:fill="FFFFFF"/>
        </w:rPr>
        <w:t>2013;</w:t>
      </w:r>
      <w:r w:rsidRPr="006D5298">
        <w:rPr>
          <w:rStyle w:val="ref-vol"/>
          <w:rFonts w:ascii="Times New Roman" w:hAnsi="Times New Roman" w:cs="Times New Roman"/>
          <w:sz w:val="22"/>
          <w:szCs w:val="22"/>
          <w:shd w:val="clear" w:color="auto" w:fill="FFFFFF"/>
        </w:rPr>
        <w:t>12</w:t>
      </w:r>
      <w:r w:rsidRPr="006D5298">
        <w:rPr>
          <w:rFonts w:ascii="Times New Roman" w:hAnsi="Times New Roman" w:cs="Times New Roman"/>
          <w:sz w:val="22"/>
          <w:szCs w:val="22"/>
          <w:shd w:val="clear" w:color="auto" w:fill="FFFFFF"/>
        </w:rPr>
        <w:t>:509</w:t>
      </w:r>
      <w:proofErr w:type="gramEnd"/>
      <w:r w:rsidRPr="006D5298">
        <w:rPr>
          <w:rFonts w:ascii="Times New Roman" w:hAnsi="Times New Roman" w:cs="Times New Roman"/>
          <w:sz w:val="22"/>
          <w:szCs w:val="22"/>
          <w:shd w:val="clear" w:color="auto" w:fill="FFFFFF"/>
        </w:rPr>
        <w:t>–19.</w:t>
      </w:r>
    </w:p>
    <w:p w14:paraId="1011AB4C" w14:textId="0197F122" w:rsidR="006D5298" w:rsidRPr="006D5298" w:rsidRDefault="006D5298" w:rsidP="00331739">
      <w:pPr>
        <w:pStyle w:val="Default"/>
        <w:numPr>
          <w:ilvl w:val="0"/>
          <w:numId w:val="9"/>
        </w:numPr>
        <w:rPr>
          <w:rFonts w:ascii="Times New Roman" w:hAnsi="Times New Roman" w:cs="Times New Roman"/>
          <w:color w:val="auto"/>
          <w:sz w:val="22"/>
          <w:szCs w:val="22"/>
        </w:rPr>
      </w:pPr>
      <w:proofErr w:type="spellStart"/>
      <w:r w:rsidRPr="006D5298">
        <w:rPr>
          <w:rFonts w:ascii="Times New Roman" w:hAnsi="Times New Roman" w:cs="Times New Roman"/>
          <w:color w:val="auto"/>
          <w:sz w:val="22"/>
          <w:szCs w:val="22"/>
        </w:rPr>
        <w:t>Hannum</w:t>
      </w:r>
      <w:proofErr w:type="spellEnd"/>
      <w:r w:rsidRPr="006D5298">
        <w:rPr>
          <w:rFonts w:ascii="Times New Roman" w:hAnsi="Times New Roman" w:cs="Times New Roman"/>
          <w:color w:val="auto"/>
          <w:sz w:val="22"/>
          <w:szCs w:val="22"/>
        </w:rPr>
        <w:t xml:space="preserve"> G, </w:t>
      </w:r>
      <w:proofErr w:type="spellStart"/>
      <w:r w:rsidRPr="006D5298">
        <w:rPr>
          <w:rFonts w:ascii="Times New Roman" w:hAnsi="Times New Roman" w:cs="Times New Roman"/>
          <w:color w:val="auto"/>
          <w:sz w:val="22"/>
          <w:szCs w:val="22"/>
        </w:rPr>
        <w:t>Guinney</w:t>
      </w:r>
      <w:proofErr w:type="spellEnd"/>
      <w:r w:rsidRPr="006D5298">
        <w:rPr>
          <w:rFonts w:ascii="Times New Roman" w:hAnsi="Times New Roman" w:cs="Times New Roman"/>
          <w:color w:val="auto"/>
          <w:sz w:val="22"/>
          <w:szCs w:val="22"/>
        </w:rPr>
        <w:t xml:space="preserve"> J, Zhao L. et al. Genome-wide methylation profiles reveal quantitative views of human aging rates. Mol Cell </w:t>
      </w:r>
      <w:proofErr w:type="gramStart"/>
      <w:r w:rsidRPr="006D5298">
        <w:rPr>
          <w:rFonts w:ascii="Times New Roman" w:hAnsi="Times New Roman" w:cs="Times New Roman"/>
          <w:color w:val="auto"/>
          <w:sz w:val="22"/>
          <w:szCs w:val="22"/>
        </w:rPr>
        <w:t>2013;49:359</w:t>
      </w:r>
      <w:proofErr w:type="gramEnd"/>
      <w:r w:rsidRPr="006D5298">
        <w:rPr>
          <w:rFonts w:ascii="Times New Roman" w:hAnsi="Times New Roman" w:cs="Times New Roman"/>
          <w:color w:val="auto"/>
          <w:sz w:val="22"/>
          <w:szCs w:val="22"/>
        </w:rPr>
        <w:t>–67.</w:t>
      </w:r>
    </w:p>
    <w:p w14:paraId="075B3D4A" w14:textId="7611A2C0" w:rsidR="00331739" w:rsidRPr="00B346B7" w:rsidRDefault="00331739" w:rsidP="00331739">
      <w:pPr>
        <w:pStyle w:val="Default"/>
        <w:numPr>
          <w:ilvl w:val="0"/>
          <w:numId w:val="9"/>
        </w:numPr>
        <w:rPr>
          <w:rFonts w:ascii="Times New Roman" w:hAnsi="Times New Roman" w:cs="Times New Roman"/>
          <w:color w:val="auto"/>
          <w:sz w:val="22"/>
          <w:szCs w:val="22"/>
        </w:rPr>
      </w:pPr>
      <w:r w:rsidRPr="006D5298">
        <w:rPr>
          <w:rFonts w:ascii="Times New Roman" w:hAnsi="Times New Roman" w:cs="Times New Roman"/>
          <w:sz w:val="22"/>
          <w:szCs w:val="22"/>
          <w:shd w:val="clear" w:color="auto" w:fill="FFFFFF"/>
        </w:rPr>
        <w:t>Horvath S. </w:t>
      </w:r>
      <w:r w:rsidRPr="006D5298">
        <w:rPr>
          <w:rStyle w:val="ref-title"/>
          <w:rFonts w:ascii="Times New Roman" w:hAnsi="Times New Roman" w:cs="Times New Roman"/>
          <w:sz w:val="22"/>
          <w:szCs w:val="22"/>
          <w:shd w:val="clear" w:color="auto" w:fill="FFFFFF"/>
        </w:rPr>
        <w:t>DNA methylation age of human tissues and cell types</w:t>
      </w:r>
      <w:r w:rsidRPr="006D5298">
        <w:rPr>
          <w:rFonts w:ascii="Times New Roman" w:hAnsi="Times New Roman" w:cs="Times New Roman"/>
          <w:sz w:val="22"/>
          <w:szCs w:val="22"/>
          <w:shd w:val="clear" w:color="auto" w:fill="FFFFFF"/>
        </w:rPr>
        <w:t>. </w:t>
      </w:r>
      <w:r w:rsidRPr="006D5298">
        <w:rPr>
          <w:rStyle w:val="ref-journal"/>
          <w:rFonts w:ascii="Times New Roman" w:hAnsi="Times New Roman" w:cs="Times New Roman"/>
          <w:sz w:val="22"/>
          <w:szCs w:val="22"/>
          <w:shd w:val="clear" w:color="auto" w:fill="FFFFFF"/>
        </w:rPr>
        <w:t>Genome Biol</w:t>
      </w:r>
      <w:r w:rsidRPr="006D5298">
        <w:rPr>
          <w:rFonts w:ascii="Times New Roman" w:hAnsi="Times New Roman" w:cs="Times New Roman"/>
          <w:sz w:val="22"/>
          <w:szCs w:val="22"/>
          <w:shd w:val="clear" w:color="auto" w:fill="FFFFFF"/>
        </w:rPr>
        <w:t> 2013;</w:t>
      </w:r>
      <w:proofErr w:type="gramStart"/>
      <w:r w:rsidRPr="006D5298">
        <w:rPr>
          <w:rStyle w:val="ref-vol"/>
          <w:rFonts w:ascii="Times New Roman" w:hAnsi="Times New Roman" w:cs="Times New Roman"/>
          <w:sz w:val="22"/>
          <w:szCs w:val="22"/>
          <w:shd w:val="clear" w:color="auto" w:fill="FFFFFF"/>
        </w:rPr>
        <w:t>14</w:t>
      </w:r>
      <w:r w:rsidRPr="006D5298">
        <w:rPr>
          <w:rFonts w:ascii="Times New Roman" w:hAnsi="Times New Roman" w:cs="Times New Roman"/>
          <w:sz w:val="22"/>
          <w:szCs w:val="22"/>
          <w:shd w:val="clear" w:color="auto" w:fill="FFFFFF"/>
        </w:rPr>
        <w:t>:R</w:t>
      </w:r>
      <w:proofErr w:type="gramEnd"/>
      <w:r w:rsidRPr="006D5298">
        <w:rPr>
          <w:rFonts w:ascii="Times New Roman" w:hAnsi="Times New Roman" w:cs="Times New Roman"/>
          <w:sz w:val="22"/>
          <w:szCs w:val="22"/>
          <w:shd w:val="clear" w:color="auto" w:fill="FFFFFF"/>
        </w:rPr>
        <w:t>115.</w:t>
      </w:r>
    </w:p>
    <w:p w14:paraId="1D9D8D39" w14:textId="4100EFB8" w:rsidR="00B346B7" w:rsidRPr="00B346B7" w:rsidRDefault="00B346B7" w:rsidP="00331739">
      <w:pPr>
        <w:pStyle w:val="Default"/>
        <w:numPr>
          <w:ilvl w:val="0"/>
          <w:numId w:val="9"/>
        </w:numPr>
        <w:rPr>
          <w:rFonts w:ascii="Times New Roman" w:hAnsi="Times New Roman" w:cs="Times New Roman"/>
          <w:color w:val="auto"/>
          <w:sz w:val="22"/>
          <w:szCs w:val="22"/>
        </w:rPr>
      </w:pPr>
      <w:r>
        <w:rPr>
          <w:rFonts w:ascii="Times New Roman" w:hAnsi="Times New Roman" w:cs="Times New Roman"/>
          <w:sz w:val="22"/>
          <w:szCs w:val="22"/>
          <w:shd w:val="clear" w:color="auto" w:fill="FFFFFF"/>
        </w:rPr>
        <w:t xml:space="preserve">Feldman AL, Griffith SJ, Ahern AL et al. </w:t>
      </w:r>
      <w:r w:rsidRPr="00B346B7">
        <w:rPr>
          <w:rFonts w:ascii="Times New Roman" w:hAnsi="Times New Roman" w:cs="Times New Roman"/>
          <w:sz w:val="22"/>
          <w:szCs w:val="22"/>
          <w:shd w:val="clear" w:color="auto" w:fill="FFFFFF"/>
        </w:rPr>
        <w:t>Impact of weight maintenance and loss on diabetes risk and burden: a population-based study in 33,184 participants.</w:t>
      </w:r>
      <w:r>
        <w:rPr>
          <w:rFonts w:ascii="Times New Roman" w:hAnsi="Times New Roman" w:cs="Times New Roman"/>
          <w:sz w:val="22"/>
          <w:szCs w:val="22"/>
          <w:shd w:val="clear" w:color="auto" w:fill="FFFFFF"/>
        </w:rPr>
        <w:t xml:space="preserve"> </w:t>
      </w:r>
      <w:r w:rsidRPr="00B346B7">
        <w:rPr>
          <w:rFonts w:ascii="Times New Roman" w:hAnsi="Times New Roman" w:cs="Times New Roman"/>
          <w:sz w:val="22"/>
          <w:szCs w:val="22"/>
          <w:shd w:val="clear" w:color="auto" w:fill="FFFFFF"/>
        </w:rPr>
        <w:t>BMC Public Health. 2017;</w:t>
      </w:r>
      <w:r>
        <w:rPr>
          <w:rFonts w:ascii="Times New Roman" w:hAnsi="Times New Roman" w:cs="Times New Roman"/>
          <w:sz w:val="22"/>
          <w:szCs w:val="22"/>
          <w:shd w:val="clear" w:color="auto" w:fill="FFFFFF"/>
        </w:rPr>
        <w:t xml:space="preserve"> </w:t>
      </w:r>
      <w:r w:rsidRPr="00B346B7">
        <w:rPr>
          <w:rFonts w:ascii="Times New Roman" w:hAnsi="Times New Roman" w:cs="Times New Roman"/>
          <w:sz w:val="22"/>
          <w:szCs w:val="22"/>
          <w:shd w:val="clear" w:color="auto" w:fill="FFFFFF"/>
        </w:rPr>
        <w:t>17:170</w:t>
      </w:r>
    </w:p>
    <w:p w14:paraId="5BF930B2" w14:textId="1B06A6E3" w:rsidR="00B346B7" w:rsidRDefault="00B346B7" w:rsidP="00331739">
      <w:pPr>
        <w:pStyle w:val="Default"/>
        <w:numPr>
          <w:ilvl w:val="0"/>
          <w:numId w:val="9"/>
        </w:numPr>
        <w:rPr>
          <w:rFonts w:ascii="Times New Roman" w:hAnsi="Times New Roman" w:cs="Times New Roman"/>
          <w:color w:val="auto"/>
          <w:sz w:val="22"/>
          <w:szCs w:val="22"/>
        </w:rPr>
      </w:pPr>
      <w:proofErr w:type="spellStart"/>
      <w:r>
        <w:rPr>
          <w:rFonts w:ascii="Times New Roman" w:hAnsi="Times New Roman" w:cs="Times New Roman"/>
          <w:color w:val="auto"/>
          <w:sz w:val="22"/>
          <w:szCs w:val="22"/>
        </w:rPr>
        <w:t>Ekpu</w:t>
      </w:r>
      <w:proofErr w:type="spellEnd"/>
      <w:r>
        <w:rPr>
          <w:rFonts w:ascii="Times New Roman" w:hAnsi="Times New Roman" w:cs="Times New Roman"/>
          <w:color w:val="auto"/>
          <w:sz w:val="22"/>
          <w:szCs w:val="22"/>
        </w:rPr>
        <w:t xml:space="preserve"> VU, Brown AK. </w:t>
      </w:r>
      <w:r w:rsidRPr="00B346B7">
        <w:rPr>
          <w:rFonts w:ascii="Times New Roman" w:hAnsi="Times New Roman" w:cs="Times New Roman"/>
          <w:color w:val="auto"/>
          <w:sz w:val="22"/>
          <w:szCs w:val="22"/>
        </w:rPr>
        <w:t>The Economic Impact of Smoking and of Reducing Smoking Prevalence: Review of Evidence.</w:t>
      </w:r>
      <w:r w:rsidRPr="00B346B7">
        <w:t xml:space="preserve"> </w:t>
      </w:r>
      <w:proofErr w:type="spellStart"/>
      <w:r w:rsidRPr="00B346B7">
        <w:rPr>
          <w:rFonts w:ascii="Times New Roman" w:hAnsi="Times New Roman" w:cs="Times New Roman"/>
          <w:color w:val="auto"/>
          <w:sz w:val="22"/>
          <w:szCs w:val="22"/>
        </w:rPr>
        <w:t>Tob</w:t>
      </w:r>
      <w:proofErr w:type="spellEnd"/>
      <w:r w:rsidRPr="00B346B7">
        <w:rPr>
          <w:rFonts w:ascii="Times New Roman" w:hAnsi="Times New Roman" w:cs="Times New Roman"/>
          <w:color w:val="auto"/>
          <w:sz w:val="22"/>
          <w:szCs w:val="22"/>
        </w:rPr>
        <w:t xml:space="preserve"> Use Insights. 2015;</w:t>
      </w:r>
      <w:r>
        <w:rPr>
          <w:rFonts w:ascii="Times New Roman" w:hAnsi="Times New Roman" w:cs="Times New Roman"/>
          <w:color w:val="auto"/>
          <w:sz w:val="22"/>
          <w:szCs w:val="22"/>
        </w:rPr>
        <w:t xml:space="preserve"> </w:t>
      </w:r>
      <w:r w:rsidRPr="00B346B7">
        <w:rPr>
          <w:rFonts w:ascii="Times New Roman" w:hAnsi="Times New Roman" w:cs="Times New Roman"/>
          <w:color w:val="auto"/>
          <w:sz w:val="22"/>
          <w:szCs w:val="22"/>
        </w:rPr>
        <w:t>8:</w:t>
      </w:r>
      <w:r>
        <w:rPr>
          <w:rFonts w:ascii="Times New Roman" w:hAnsi="Times New Roman" w:cs="Times New Roman"/>
          <w:color w:val="auto"/>
          <w:sz w:val="22"/>
          <w:szCs w:val="22"/>
        </w:rPr>
        <w:t xml:space="preserve"> </w:t>
      </w:r>
      <w:r w:rsidRPr="00B346B7">
        <w:rPr>
          <w:rFonts w:ascii="Times New Roman" w:hAnsi="Times New Roman" w:cs="Times New Roman"/>
          <w:color w:val="auto"/>
          <w:sz w:val="22"/>
          <w:szCs w:val="22"/>
        </w:rPr>
        <w:t>1-35</w:t>
      </w:r>
    </w:p>
    <w:p w14:paraId="39BB29C0" w14:textId="77777777" w:rsidR="00D54F91" w:rsidRDefault="00B346B7" w:rsidP="00D54F91">
      <w:pPr>
        <w:pStyle w:val="Default"/>
        <w:numPr>
          <w:ilvl w:val="0"/>
          <w:numId w:val="9"/>
        </w:numPr>
        <w:rPr>
          <w:rFonts w:ascii="Times New Roman" w:hAnsi="Times New Roman" w:cs="Times New Roman"/>
          <w:color w:val="auto"/>
          <w:sz w:val="22"/>
          <w:szCs w:val="22"/>
        </w:rPr>
      </w:pPr>
      <w:proofErr w:type="spellStart"/>
      <w:r w:rsidRPr="00B346B7">
        <w:rPr>
          <w:rFonts w:ascii="Times New Roman" w:hAnsi="Times New Roman" w:cs="Times New Roman"/>
          <w:color w:val="auto"/>
          <w:sz w:val="22"/>
          <w:szCs w:val="22"/>
        </w:rPr>
        <w:t>Galloza</w:t>
      </w:r>
      <w:proofErr w:type="spellEnd"/>
      <w:r w:rsidRPr="00B346B7">
        <w:rPr>
          <w:rFonts w:ascii="Times New Roman" w:hAnsi="Times New Roman" w:cs="Times New Roman"/>
          <w:color w:val="auto"/>
          <w:sz w:val="22"/>
          <w:szCs w:val="22"/>
        </w:rPr>
        <w:t xml:space="preserve"> J, Castillo B, </w:t>
      </w:r>
      <w:proofErr w:type="spellStart"/>
      <w:r w:rsidRPr="00B346B7">
        <w:rPr>
          <w:rFonts w:ascii="Times New Roman" w:hAnsi="Times New Roman" w:cs="Times New Roman"/>
          <w:color w:val="auto"/>
          <w:sz w:val="22"/>
          <w:szCs w:val="22"/>
        </w:rPr>
        <w:t>Micheo</w:t>
      </w:r>
      <w:proofErr w:type="spellEnd"/>
      <w:r w:rsidRPr="00B346B7">
        <w:rPr>
          <w:rFonts w:ascii="Times New Roman" w:hAnsi="Times New Roman" w:cs="Times New Roman"/>
          <w:color w:val="auto"/>
          <w:sz w:val="22"/>
          <w:szCs w:val="22"/>
        </w:rPr>
        <w:t xml:space="preserve"> W.</w:t>
      </w:r>
      <w:r w:rsidRPr="00B346B7">
        <w:t xml:space="preserve"> </w:t>
      </w:r>
      <w:r w:rsidRPr="00B346B7">
        <w:rPr>
          <w:rFonts w:ascii="Times New Roman" w:hAnsi="Times New Roman" w:cs="Times New Roman"/>
          <w:color w:val="auto"/>
          <w:sz w:val="22"/>
          <w:szCs w:val="22"/>
        </w:rPr>
        <w:t>Benefits of Exercise in the Older Population.</w:t>
      </w:r>
      <w:r w:rsidRPr="00B346B7">
        <w:t xml:space="preserve"> </w:t>
      </w:r>
      <w:r w:rsidRPr="00B346B7">
        <w:rPr>
          <w:rFonts w:ascii="Times New Roman" w:hAnsi="Times New Roman" w:cs="Times New Roman"/>
          <w:color w:val="auto"/>
          <w:sz w:val="22"/>
          <w:szCs w:val="22"/>
        </w:rPr>
        <w:t xml:space="preserve">Phys Med </w:t>
      </w:r>
      <w:proofErr w:type="spellStart"/>
      <w:r w:rsidRPr="00B346B7">
        <w:rPr>
          <w:rFonts w:ascii="Times New Roman" w:hAnsi="Times New Roman" w:cs="Times New Roman"/>
          <w:color w:val="auto"/>
          <w:sz w:val="22"/>
          <w:szCs w:val="22"/>
        </w:rPr>
        <w:t>Rehabil</w:t>
      </w:r>
      <w:proofErr w:type="spellEnd"/>
      <w:r w:rsidRPr="00B346B7">
        <w:rPr>
          <w:rFonts w:ascii="Times New Roman" w:hAnsi="Times New Roman" w:cs="Times New Roman"/>
          <w:color w:val="auto"/>
          <w:sz w:val="22"/>
          <w:szCs w:val="22"/>
        </w:rPr>
        <w:t xml:space="preserve"> Clin N Am. 2017;</w:t>
      </w:r>
      <w:r>
        <w:rPr>
          <w:rFonts w:ascii="Times New Roman" w:hAnsi="Times New Roman" w:cs="Times New Roman"/>
          <w:color w:val="auto"/>
          <w:sz w:val="22"/>
          <w:szCs w:val="22"/>
        </w:rPr>
        <w:t xml:space="preserve"> </w:t>
      </w:r>
      <w:r w:rsidRPr="00B346B7">
        <w:rPr>
          <w:rFonts w:ascii="Times New Roman" w:hAnsi="Times New Roman" w:cs="Times New Roman"/>
          <w:color w:val="auto"/>
          <w:sz w:val="22"/>
          <w:szCs w:val="22"/>
        </w:rPr>
        <w:t>28:</w:t>
      </w:r>
      <w:r>
        <w:rPr>
          <w:rFonts w:ascii="Times New Roman" w:hAnsi="Times New Roman" w:cs="Times New Roman"/>
          <w:color w:val="auto"/>
          <w:sz w:val="22"/>
          <w:szCs w:val="22"/>
        </w:rPr>
        <w:t xml:space="preserve"> </w:t>
      </w:r>
      <w:r w:rsidRPr="00B346B7">
        <w:rPr>
          <w:rFonts w:ascii="Times New Roman" w:hAnsi="Times New Roman" w:cs="Times New Roman"/>
          <w:color w:val="auto"/>
          <w:sz w:val="22"/>
          <w:szCs w:val="22"/>
        </w:rPr>
        <w:t>659-669.</w:t>
      </w:r>
    </w:p>
    <w:p w14:paraId="7A9A5BAA" w14:textId="06EC9F98" w:rsidR="00B346B7" w:rsidRDefault="00D54F91" w:rsidP="00D54F91">
      <w:pPr>
        <w:pStyle w:val="ListParagraph"/>
        <w:numPr>
          <w:ilvl w:val="0"/>
          <w:numId w:val="9"/>
        </w:numPr>
        <w:rPr>
          <w:rFonts w:ascii="Times New Roman" w:hAnsi="Times New Roman" w:cs="Times New Roman"/>
        </w:rPr>
      </w:pPr>
      <w:r w:rsidRPr="00D54F91">
        <w:rPr>
          <w:rFonts w:ascii="Times New Roman" w:hAnsi="Times New Roman" w:cs="Times New Roman"/>
        </w:rPr>
        <w:t>Li Y, Zhou G, Bruno IG, Zhang N et al.  Transient introduction of human telomerase mRNA improves hallmarks of progeria cells.</w:t>
      </w:r>
      <w:r>
        <w:rPr>
          <w:rFonts w:ascii="Times New Roman" w:hAnsi="Times New Roman" w:cs="Times New Roman"/>
        </w:rPr>
        <w:t xml:space="preserve"> </w:t>
      </w:r>
      <w:r w:rsidRPr="00D54F91">
        <w:rPr>
          <w:rFonts w:ascii="Times New Roman" w:hAnsi="Times New Roman" w:cs="Times New Roman"/>
        </w:rPr>
        <w:t>Aging Cell. 2019;</w:t>
      </w:r>
      <w:r>
        <w:rPr>
          <w:rFonts w:ascii="Times New Roman" w:hAnsi="Times New Roman" w:cs="Times New Roman"/>
        </w:rPr>
        <w:t xml:space="preserve"> </w:t>
      </w:r>
      <w:proofErr w:type="gramStart"/>
      <w:r w:rsidRPr="00D54F91">
        <w:rPr>
          <w:rFonts w:ascii="Times New Roman" w:hAnsi="Times New Roman" w:cs="Times New Roman"/>
        </w:rPr>
        <w:t>18:e</w:t>
      </w:r>
      <w:proofErr w:type="gramEnd"/>
      <w:r w:rsidRPr="00D54F91">
        <w:rPr>
          <w:rFonts w:ascii="Times New Roman" w:hAnsi="Times New Roman" w:cs="Times New Roman"/>
        </w:rPr>
        <w:t xml:space="preserve">12979. doi: 10.1111/acel.12979. </w:t>
      </w:r>
    </w:p>
    <w:p w14:paraId="3EB339A6" w14:textId="491CB14C" w:rsidR="00F11CE2" w:rsidRDefault="007D47D1" w:rsidP="00D54F91">
      <w:pPr>
        <w:pStyle w:val="ListParagraph"/>
        <w:numPr>
          <w:ilvl w:val="0"/>
          <w:numId w:val="9"/>
        </w:numPr>
        <w:rPr>
          <w:rFonts w:ascii="Times New Roman" w:hAnsi="Times New Roman" w:cs="Times New Roman"/>
        </w:rPr>
      </w:pPr>
      <w:r>
        <w:rPr>
          <w:rFonts w:ascii="Times New Roman" w:hAnsi="Times New Roman" w:cs="Times New Roman"/>
        </w:rPr>
        <w:t xml:space="preserve">Scottish Intercollegiate Guidelines Network: </w:t>
      </w:r>
      <w:r w:rsidRPr="007D47D1">
        <w:rPr>
          <w:rFonts w:ascii="Times New Roman" w:hAnsi="Times New Roman" w:cs="Times New Roman"/>
        </w:rPr>
        <w:t>SIGN 149 • Risk estimation and the prevention of cardiovascular disease</w:t>
      </w:r>
      <w:r>
        <w:rPr>
          <w:rFonts w:ascii="Times New Roman" w:hAnsi="Times New Roman" w:cs="Times New Roman"/>
        </w:rPr>
        <w:t>. July 2017</w:t>
      </w:r>
    </w:p>
    <w:p w14:paraId="4A6BCB1B" w14:textId="25E37A80" w:rsidR="00875C38" w:rsidRDefault="00875C38" w:rsidP="00875C38">
      <w:pPr>
        <w:pStyle w:val="ListParagraph"/>
        <w:numPr>
          <w:ilvl w:val="0"/>
          <w:numId w:val="9"/>
        </w:numPr>
        <w:rPr>
          <w:rFonts w:ascii="Times New Roman" w:hAnsi="Times New Roman" w:cs="Times New Roman"/>
        </w:rPr>
      </w:pPr>
      <w:r w:rsidRPr="00875C38">
        <w:rPr>
          <w:rFonts w:ascii="Times New Roman" w:hAnsi="Times New Roman" w:cs="Times New Roman"/>
        </w:rPr>
        <w:t>Castellano JM, Verdejo J, Ocampo S et al.</w:t>
      </w:r>
      <w:r w:rsidRPr="00875C38">
        <w:t xml:space="preserve"> </w:t>
      </w:r>
      <w:r w:rsidRPr="00875C38">
        <w:rPr>
          <w:rFonts w:ascii="Times New Roman" w:hAnsi="Times New Roman" w:cs="Times New Roman"/>
        </w:rPr>
        <w:t>Clinical Effectiveness of the Cardiovascular Polypill in a Real-Life Setting in Patients with Cardiovascular Risk: The SORS Study.</w:t>
      </w:r>
      <w:r>
        <w:rPr>
          <w:rFonts w:ascii="Times New Roman" w:hAnsi="Times New Roman" w:cs="Times New Roman"/>
        </w:rPr>
        <w:t xml:space="preserve"> </w:t>
      </w:r>
      <w:r w:rsidRPr="00875C38">
        <w:rPr>
          <w:rFonts w:ascii="Times New Roman" w:hAnsi="Times New Roman" w:cs="Times New Roman"/>
        </w:rPr>
        <w:t>Arch Med Res. 2019;</w:t>
      </w:r>
      <w:r>
        <w:rPr>
          <w:rFonts w:ascii="Times New Roman" w:hAnsi="Times New Roman" w:cs="Times New Roman"/>
        </w:rPr>
        <w:t xml:space="preserve"> </w:t>
      </w:r>
      <w:r w:rsidRPr="00875C38">
        <w:rPr>
          <w:rFonts w:ascii="Times New Roman" w:hAnsi="Times New Roman" w:cs="Times New Roman"/>
        </w:rPr>
        <w:t>50:</w:t>
      </w:r>
      <w:r>
        <w:rPr>
          <w:rFonts w:ascii="Times New Roman" w:hAnsi="Times New Roman" w:cs="Times New Roman"/>
        </w:rPr>
        <w:t xml:space="preserve"> </w:t>
      </w:r>
      <w:r w:rsidRPr="00875C38">
        <w:rPr>
          <w:rFonts w:ascii="Times New Roman" w:hAnsi="Times New Roman" w:cs="Times New Roman"/>
        </w:rPr>
        <w:t>31-40.</w:t>
      </w:r>
    </w:p>
    <w:p w14:paraId="22DF3DCB" w14:textId="025C527C" w:rsidR="00875C38" w:rsidRDefault="00875C38" w:rsidP="00875C38">
      <w:pPr>
        <w:pStyle w:val="ListParagraph"/>
        <w:numPr>
          <w:ilvl w:val="0"/>
          <w:numId w:val="9"/>
        </w:numPr>
        <w:rPr>
          <w:rFonts w:ascii="Times New Roman" w:hAnsi="Times New Roman" w:cs="Times New Roman"/>
        </w:rPr>
      </w:pPr>
      <w:r w:rsidRPr="00875C38">
        <w:rPr>
          <w:rFonts w:ascii="Times New Roman" w:hAnsi="Times New Roman" w:cs="Times New Roman"/>
        </w:rPr>
        <w:t xml:space="preserve">Becerra V, </w:t>
      </w:r>
      <w:proofErr w:type="spellStart"/>
      <w:r w:rsidRPr="00875C38">
        <w:rPr>
          <w:rFonts w:ascii="Times New Roman" w:hAnsi="Times New Roman" w:cs="Times New Roman"/>
        </w:rPr>
        <w:t>Gracia</w:t>
      </w:r>
      <w:proofErr w:type="spellEnd"/>
      <w:r w:rsidRPr="00875C38">
        <w:rPr>
          <w:rFonts w:ascii="Times New Roman" w:hAnsi="Times New Roman" w:cs="Times New Roman"/>
        </w:rPr>
        <w:t xml:space="preserve"> A, Desai K et al.</w:t>
      </w:r>
      <w:r>
        <w:rPr>
          <w:rFonts w:ascii="Times New Roman" w:hAnsi="Times New Roman" w:cs="Times New Roman"/>
        </w:rPr>
        <w:t xml:space="preserve"> </w:t>
      </w:r>
      <w:r w:rsidRPr="00875C38">
        <w:rPr>
          <w:rFonts w:ascii="Times New Roman" w:hAnsi="Times New Roman" w:cs="Times New Roman"/>
        </w:rPr>
        <w:t>Cost-effectiveness and public health benefit of secondary cardiovascular disease prevention from improved adherence using a polypill in the UK.</w:t>
      </w:r>
      <w:r>
        <w:rPr>
          <w:rFonts w:ascii="Times New Roman" w:hAnsi="Times New Roman" w:cs="Times New Roman"/>
        </w:rPr>
        <w:t xml:space="preserve"> </w:t>
      </w:r>
      <w:r w:rsidRPr="00875C38">
        <w:rPr>
          <w:rFonts w:ascii="Times New Roman" w:hAnsi="Times New Roman" w:cs="Times New Roman"/>
        </w:rPr>
        <w:t>BMJ Open. 2015;</w:t>
      </w:r>
      <w:r>
        <w:rPr>
          <w:rFonts w:ascii="Times New Roman" w:hAnsi="Times New Roman" w:cs="Times New Roman"/>
        </w:rPr>
        <w:t xml:space="preserve"> </w:t>
      </w:r>
      <w:proofErr w:type="gramStart"/>
      <w:r w:rsidRPr="00875C38">
        <w:rPr>
          <w:rFonts w:ascii="Times New Roman" w:hAnsi="Times New Roman" w:cs="Times New Roman"/>
        </w:rPr>
        <w:t>5:e</w:t>
      </w:r>
      <w:proofErr w:type="gramEnd"/>
      <w:r w:rsidRPr="00875C38">
        <w:rPr>
          <w:rFonts w:ascii="Times New Roman" w:hAnsi="Times New Roman" w:cs="Times New Roman"/>
        </w:rPr>
        <w:t>007111. doi: 10.1136/bmjopen-2014-007111.</w:t>
      </w:r>
    </w:p>
    <w:p w14:paraId="77E53B5C" w14:textId="799A5055" w:rsidR="00801649" w:rsidRDefault="00801649" w:rsidP="00801649">
      <w:pPr>
        <w:pStyle w:val="ListParagraph"/>
        <w:numPr>
          <w:ilvl w:val="0"/>
          <w:numId w:val="9"/>
        </w:numPr>
        <w:rPr>
          <w:rFonts w:ascii="Times New Roman" w:hAnsi="Times New Roman" w:cs="Times New Roman"/>
        </w:rPr>
      </w:pPr>
      <w:r w:rsidRPr="00801649">
        <w:rPr>
          <w:rFonts w:ascii="Times New Roman" w:hAnsi="Times New Roman" w:cs="Times New Roman"/>
        </w:rPr>
        <w:t>Poulos RG, Marwood S, Harkin D et al. Arts on prescription for community-dwelling older people with a range of health and wellness needs. Health Soc Care Community. 2019;</w:t>
      </w:r>
      <w:r>
        <w:rPr>
          <w:rFonts w:ascii="Times New Roman" w:hAnsi="Times New Roman" w:cs="Times New Roman"/>
        </w:rPr>
        <w:t xml:space="preserve"> </w:t>
      </w:r>
      <w:r w:rsidRPr="00801649">
        <w:rPr>
          <w:rFonts w:ascii="Times New Roman" w:hAnsi="Times New Roman" w:cs="Times New Roman"/>
        </w:rPr>
        <w:t>27:</w:t>
      </w:r>
      <w:r>
        <w:rPr>
          <w:rFonts w:ascii="Times New Roman" w:hAnsi="Times New Roman" w:cs="Times New Roman"/>
        </w:rPr>
        <w:t xml:space="preserve"> </w:t>
      </w:r>
      <w:r w:rsidRPr="00801649">
        <w:rPr>
          <w:rFonts w:ascii="Times New Roman" w:hAnsi="Times New Roman" w:cs="Times New Roman"/>
        </w:rPr>
        <w:t>483-492.</w:t>
      </w:r>
    </w:p>
    <w:p w14:paraId="3008D660" w14:textId="17EF0558" w:rsidR="00801649" w:rsidRDefault="000C5BAC" w:rsidP="000C5BAC">
      <w:pPr>
        <w:pStyle w:val="ListParagraph"/>
        <w:numPr>
          <w:ilvl w:val="0"/>
          <w:numId w:val="9"/>
        </w:numPr>
        <w:rPr>
          <w:rFonts w:ascii="Times New Roman" w:hAnsi="Times New Roman" w:cs="Times New Roman"/>
        </w:rPr>
      </w:pPr>
      <w:r w:rsidRPr="000C5BAC">
        <w:rPr>
          <w:rFonts w:ascii="Times New Roman" w:hAnsi="Times New Roman" w:cs="Times New Roman"/>
        </w:rPr>
        <w:t xml:space="preserve">Lindsay-Smith G, </w:t>
      </w:r>
      <w:proofErr w:type="spellStart"/>
      <w:r w:rsidRPr="000C5BAC">
        <w:rPr>
          <w:rFonts w:ascii="Times New Roman" w:hAnsi="Times New Roman" w:cs="Times New Roman"/>
        </w:rPr>
        <w:t>Eime</w:t>
      </w:r>
      <w:proofErr w:type="spellEnd"/>
      <w:r w:rsidRPr="000C5BAC">
        <w:rPr>
          <w:rFonts w:ascii="Times New Roman" w:hAnsi="Times New Roman" w:cs="Times New Roman"/>
        </w:rPr>
        <w:t xml:space="preserve"> R, O'Sullivan G et al. A mixed-methods case study exploring the impact of participation in community activity groups for older adults on physical activity, health and wellbeing.</w:t>
      </w:r>
      <w:r>
        <w:rPr>
          <w:rFonts w:ascii="Times New Roman" w:hAnsi="Times New Roman" w:cs="Times New Roman"/>
        </w:rPr>
        <w:t xml:space="preserve"> B</w:t>
      </w:r>
      <w:r w:rsidRPr="000C5BAC">
        <w:rPr>
          <w:rFonts w:ascii="Times New Roman" w:hAnsi="Times New Roman" w:cs="Times New Roman"/>
        </w:rPr>
        <w:t xml:space="preserve">MC </w:t>
      </w:r>
      <w:proofErr w:type="spellStart"/>
      <w:r w:rsidRPr="000C5BAC">
        <w:rPr>
          <w:rFonts w:ascii="Times New Roman" w:hAnsi="Times New Roman" w:cs="Times New Roman"/>
        </w:rPr>
        <w:t>Geriatr</w:t>
      </w:r>
      <w:proofErr w:type="spellEnd"/>
      <w:r w:rsidRPr="000C5BAC">
        <w:rPr>
          <w:rFonts w:ascii="Times New Roman" w:hAnsi="Times New Roman" w:cs="Times New Roman"/>
        </w:rPr>
        <w:t>. 2019;</w:t>
      </w:r>
      <w:r>
        <w:rPr>
          <w:rFonts w:ascii="Times New Roman" w:hAnsi="Times New Roman" w:cs="Times New Roman"/>
        </w:rPr>
        <w:t xml:space="preserve"> </w:t>
      </w:r>
      <w:r w:rsidRPr="000C5BAC">
        <w:rPr>
          <w:rFonts w:ascii="Times New Roman" w:hAnsi="Times New Roman" w:cs="Times New Roman"/>
        </w:rPr>
        <w:t>19:</w:t>
      </w:r>
      <w:r>
        <w:rPr>
          <w:rFonts w:ascii="Times New Roman" w:hAnsi="Times New Roman" w:cs="Times New Roman"/>
        </w:rPr>
        <w:t xml:space="preserve"> </w:t>
      </w:r>
      <w:r w:rsidRPr="000C5BAC">
        <w:rPr>
          <w:rFonts w:ascii="Times New Roman" w:hAnsi="Times New Roman" w:cs="Times New Roman"/>
        </w:rPr>
        <w:t>243</w:t>
      </w:r>
    </w:p>
    <w:p w14:paraId="47ACB98A" w14:textId="560A4C4A" w:rsidR="000C5BAC" w:rsidRDefault="002370DC" w:rsidP="002370DC">
      <w:pPr>
        <w:pStyle w:val="ListParagraph"/>
        <w:numPr>
          <w:ilvl w:val="0"/>
          <w:numId w:val="9"/>
        </w:numPr>
        <w:rPr>
          <w:rFonts w:ascii="Times New Roman" w:hAnsi="Times New Roman" w:cs="Times New Roman"/>
        </w:rPr>
      </w:pPr>
      <w:proofErr w:type="spellStart"/>
      <w:r w:rsidRPr="002370DC">
        <w:rPr>
          <w:rFonts w:ascii="Times New Roman" w:hAnsi="Times New Roman" w:cs="Times New Roman"/>
        </w:rPr>
        <w:t>Leggieri</w:t>
      </w:r>
      <w:proofErr w:type="spellEnd"/>
      <w:r w:rsidRPr="002370DC">
        <w:rPr>
          <w:rFonts w:ascii="Times New Roman" w:hAnsi="Times New Roman" w:cs="Times New Roman"/>
        </w:rPr>
        <w:t xml:space="preserve"> M, </w:t>
      </w:r>
      <w:proofErr w:type="spellStart"/>
      <w:r w:rsidRPr="002370DC">
        <w:rPr>
          <w:rFonts w:ascii="Times New Roman" w:hAnsi="Times New Roman" w:cs="Times New Roman"/>
        </w:rPr>
        <w:t>Thaut</w:t>
      </w:r>
      <w:proofErr w:type="spellEnd"/>
      <w:r w:rsidRPr="002370DC">
        <w:rPr>
          <w:rFonts w:ascii="Times New Roman" w:hAnsi="Times New Roman" w:cs="Times New Roman"/>
        </w:rPr>
        <w:t xml:space="preserve"> MH, </w:t>
      </w:r>
      <w:proofErr w:type="spellStart"/>
      <w:r w:rsidRPr="002370DC">
        <w:rPr>
          <w:rFonts w:ascii="Times New Roman" w:hAnsi="Times New Roman" w:cs="Times New Roman"/>
        </w:rPr>
        <w:t>Fornazzari</w:t>
      </w:r>
      <w:proofErr w:type="spellEnd"/>
      <w:r w:rsidRPr="002370DC">
        <w:rPr>
          <w:rFonts w:ascii="Times New Roman" w:hAnsi="Times New Roman" w:cs="Times New Roman"/>
        </w:rPr>
        <w:t xml:space="preserve"> L et al. Music Intervention Approaches for Alzheimer's Disease: A Review of the Literature.</w:t>
      </w:r>
      <w:r>
        <w:rPr>
          <w:rFonts w:ascii="Times New Roman" w:hAnsi="Times New Roman" w:cs="Times New Roman"/>
        </w:rPr>
        <w:t xml:space="preserve"> </w:t>
      </w:r>
      <w:r w:rsidRPr="002370DC">
        <w:rPr>
          <w:rFonts w:ascii="Times New Roman" w:hAnsi="Times New Roman" w:cs="Times New Roman"/>
        </w:rPr>
        <w:t xml:space="preserve">Front </w:t>
      </w:r>
      <w:proofErr w:type="spellStart"/>
      <w:r w:rsidRPr="002370DC">
        <w:rPr>
          <w:rFonts w:ascii="Times New Roman" w:hAnsi="Times New Roman" w:cs="Times New Roman"/>
        </w:rPr>
        <w:t>Neurosci</w:t>
      </w:r>
      <w:proofErr w:type="spellEnd"/>
      <w:r w:rsidRPr="002370DC">
        <w:rPr>
          <w:rFonts w:ascii="Times New Roman" w:hAnsi="Times New Roman" w:cs="Times New Roman"/>
        </w:rPr>
        <w:t>. 2019;</w:t>
      </w:r>
      <w:r>
        <w:rPr>
          <w:rFonts w:ascii="Times New Roman" w:hAnsi="Times New Roman" w:cs="Times New Roman"/>
        </w:rPr>
        <w:t xml:space="preserve"> </w:t>
      </w:r>
      <w:r w:rsidRPr="002370DC">
        <w:rPr>
          <w:rFonts w:ascii="Times New Roman" w:hAnsi="Times New Roman" w:cs="Times New Roman"/>
        </w:rPr>
        <w:t>13:</w:t>
      </w:r>
      <w:r>
        <w:rPr>
          <w:rFonts w:ascii="Times New Roman" w:hAnsi="Times New Roman" w:cs="Times New Roman"/>
        </w:rPr>
        <w:t xml:space="preserve"> </w:t>
      </w:r>
      <w:r w:rsidRPr="002370DC">
        <w:rPr>
          <w:rFonts w:ascii="Times New Roman" w:hAnsi="Times New Roman" w:cs="Times New Roman"/>
        </w:rPr>
        <w:t>132</w:t>
      </w:r>
    </w:p>
    <w:p w14:paraId="0BF072EE" w14:textId="77777777" w:rsidR="005963B6" w:rsidRDefault="005963B6" w:rsidP="002370DC">
      <w:pPr>
        <w:pStyle w:val="ListParagraph"/>
        <w:numPr>
          <w:ilvl w:val="0"/>
          <w:numId w:val="9"/>
        </w:numPr>
        <w:rPr>
          <w:rFonts w:ascii="Times New Roman" w:hAnsi="Times New Roman" w:cs="Times New Roman"/>
        </w:rPr>
      </w:pPr>
      <w:r w:rsidRPr="005963B6">
        <w:rPr>
          <w:rFonts w:ascii="Times New Roman" w:hAnsi="Times New Roman" w:cs="Times New Roman"/>
        </w:rPr>
        <w:t>Strategic Review of Health Inequalities in England post-2010.</w:t>
      </w:r>
      <w:r w:rsidRPr="002B0489">
        <w:t xml:space="preserve"> </w:t>
      </w:r>
      <w:r w:rsidRPr="005963B6">
        <w:rPr>
          <w:rFonts w:ascii="Times New Roman" w:hAnsi="Times New Roman" w:cs="Times New Roman"/>
        </w:rPr>
        <w:t xml:space="preserve">Published by The Marmot Review February 2010  </w:t>
      </w:r>
    </w:p>
    <w:p w14:paraId="66C2F744" w14:textId="56065CD2" w:rsidR="0008498F" w:rsidRPr="00DB2019" w:rsidRDefault="0008498F" w:rsidP="00DB2019">
      <w:pPr>
        <w:pStyle w:val="ListParagraph"/>
        <w:numPr>
          <w:ilvl w:val="0"/>
          <w:numId w:val="9"/>
        </w:numPr>
        <w:autoSpaceDE w:val="0"/>
        <w:autoSpaceDN w:val="0"/>
        <w:adjustRightInd w:val="0"/>
        <w:spacing w:after="0" w:line="240" w:lineRule="auto"/>
        <w:rPr>
          <w:rFonts w:ascii="Times New Roman" w:hAnsi="Times New Roman" w:cs="Times New Roman"/>
        </w:rPr>
      </w:pPr>
      <w:r w:rsidRPr="00DB2019">
        <w:rPr>
          <w:rFonts w:ascii="Times New Roman" w:hAnsi="Times New Roman" w:cs="Times New Roman"/>
        </w:rPr>
        <w:t>GBD 2017 Mortality Collaborators.</w:t>
      </w:r>
      <w:r w:rsidRPr="00DB2019">
        <w:rPr>
          <w:rFonts w:ascii="Times New Roman" w:hAnsi="Times New Roman" w:cs="Times New Roman"/>
          <w:i/>
          <w:iCs/>
        </w:rPr>
        <w:t xml:space="preserve"> </w:t>
      </w:r>
      <w:r w:rsidRPr="00DB2019">
        <w:rPr>
          <w:rFonts w:ascii="Times New Roman" w:hAnsi="Times New Roman" w:cs="Times New Roman"/>
        </w:rPr>
        <w:t xml:space="preserve">Global, regional, and national age-sex-specific mortality and life expectancy, 1950–2017: a systematic analysis for the Global Burden of Disease Study 2017. </w:t>
      </w:r>
      <w:r w:rsidRPr="00DB2019">
        <w:rPr>
          <w:rFonts w:ascii="Times New Roman" w:hAnsi="Times New Roman" w:cs="Times New Roman"/>
          <w:i/>
          <w:iCs/>
        </w:rPr>
        <w:t xml:space="preserve">Lancet </w:t>
      </w:r>
      <w:r w:rsidRPr="00DB2019">
        <w:rPr>
          <w:rFonts w:ascii="Times New Roman" w:hAnsi="Times New Roman" w:cs="Times New Roman"/>
        </w:rPr>
        <w:t>2018; 392: 1684–735.</w:t>
      </w:r>
    </w:p>
    <w:p w14:paraId="48202383" w14:textId="7B5F992F" w:rsidR="0008498F" w:rsidRPr="00DB2019" w:rsidRDefault="0008498F" w:rsidP="006F2855">
      <w:pPr>
        <w:pStyle w:val="ListParagraph"/>
        <w:numPr>
          <w:ilvl w:val="0"/>
          <w:numId w:val="9"/>
        </w:numPr>
        <w:autoSpaceDE w:val="0"/>
        <w:autoSpaceDN w:val="0"/>
        <w:adjustRightInd w:val="0"/>
        <w:spacing w:after="0" w:line="240" w:lineRule="auto"/>
        <w:rPr>
          <w:rFonts w:ascii="Times New Roman" w:hAnsi="Times New Roman" w:cs="Times New Roman"/>
        </w:rPr>
      </w:pPr>
      <w:r w:rsidRPr="00DB2019">
        <w:rPr>
          <w:rFonts w:ascii="Times New Roman" w:hAnsi="Times New Roman" w:cs="Times New Roman"/>
        </w:rPr>
        <w:t xml:space="preserve">The Report of the Short Life Working Group on reducing medication-related harm. Acute Care and Workforce/ Acute Care and Quality / CQC, Investigations and Quality Policy / 17160. </w:t>
      </w:r>
      <w:hyperlink r:id="rId6" w:history="1">
        <w:r w:rsidRPr="00DB2019">
          <w:rPr>
            <w:rStyle w:val="Hyperlink"/>
            <w:rFonts w:ascii="Times New Roman" w:hAnsi="Times New Roman" w:cs="Times New Roman"/>
          </w:rPr>
          <w:t>https://www.gov.uk/government/publications/medication-errors-short-life-working-group-report</w:t>
        </w:r>
      </w:hyperlink>
    </w:p>
    <w:p w14:paraId="3E4A4E23" w14:textId="003C8440" w:rsidR="0008498F" w:rsidRPr="00DB2019" w:rsidRDefault="0008498F" w:rsidP="006F2855">
      <w:pPr>
        <w:pStyle w:val="ListParagraph"/>
        <w:numPr>
          <w:ilvl w:val="0"/>
          <w:numId w:val="9"/>
        </w:numPr>
        <w:autoSpaceDE w:val="0"/>
        <w:autoSpaceDN w:val="0"/>
        <w:adjustRightInd w:val="0"/>
        <w:spacing w:after="0" w:line="240" w:lineRule="auto"/>
        <w:rPr>
          <w:rFonts w:ascii="Times New Roman" w:hAnsi="Times New Roman" w:cs="Times New Roman"/>
        </w:rPr>
      </w:pPr>
      <w:r w:rsidRPr="00DB2019">
        <w:rPr>
          <w:rFonts w:ascii="Times New Roman" w:eastAsia="HelveticaNeueLTStd-Roman" w:hAnsi="Times New Roman" w:cs="Times New Roman"/>
        </w:rPr>
        <w:t xml:space="preserve">Fatoye F, Smith P, Gebrye T, Yeowell G. </w:t>
      </w:r>
      <w:r w:rsidRPr="00DB2019">
        <w:rPr>
          <w:rFonts w:ascii="Times New Roman" w:hAnsi="Times New Roman" w:cs="Times New Roman"/>
        </w:rPr>
        <w:t xml:space="preserve">Real-world persistence and adherence with oral bisphosphonates for osteoporosis: a systematic review. </w:t>
      </w:r>
      <w:r w:rsidRPr="00DB2019">
        <w:rPr>
          <w:rFonts w:ascii="Times New Roman" w:hAnsi="Times New Roman" w:cs="Times New Roman"/>
          <w:i/>
          <w:iCs/>
        </w:rPr>
        <w:t xml:space="preserve">BMJ Open </w:t>
      </w:r>
      <w:r w:rsidRPr="00DB2019">
        <w:rPr>
          <w:rFonts w:ascii="Times New Roman" w:hAnsi="Times New Roman" w:cs="Times New Roman"/>
        </w:rPr>
        <w:t>2019;</w:t>
      </w:r>
      <w:proofErr w:type="gramStart"/>
      <w:r w:rsidRPr="00DB2019">
        <w:rPr>
          <w:rFonts w:ascii="Times New Roman" w:hAnsi="Times New Roman" w:cs="Times New Roman"/>
        </w:rPr>
        <w:t>9:e</w:t>
      </w:r>
      <w:proofErr w:type="gramEnd"/>
      <w:r w:rsidRPr="00DB2019">
        <w:rPr>
          <w:rFonts w:ascii="Times New Roman" w:hAnsi="Times New Roman" w:cs="Times New Roman"/>
        </w:rPr>
        <w:t>027049. doi:10.1136/ bmjopen-2018-027049.</w:t>
      </w:r>
    </w:p>
    <w:p w14:paraId="145AA478" w14:textId="107E3AA7" w:rsidR="0008498F" w:rsidRPr="002B5F7F" w:rsidRDefault="0008498F" w:rsidP="006F2855">
      <w:pPr>
        <w:pStyle w:val="ListParagraph"/>
        <w:numPr>
          <w:ilvl w:val="0"/>
          <w:numId w:val="9"/>
        </w:numPr>
        <w:autoSpaceDE w:val="0"/>
        <w:autoSpaceDN w:val="0"/>
        <w:adjustRightInd w:val="0"/>
        <w:spacing w:after="0" w:line="240" w:lineRule="auto"/>
        <w:rPr>
          <w:rFonts w:ascii="Times New Roman" w:hAnsi="Times New Roman" w:cs="Times New Roman"/>
        </w:rPr>
      </w:pPr>
      <w:r w:rsidRPr="002B5F7F">
        <w:rPr>
          <w:rFonts w:ascii="Times New Roman" w:hAnsi="Times New Roman" w:cs="Times New Roman"/>
        </w:rPr>
        <w:t>Khan S, Rupniewska E, Neighbors M, Singer D, Chiarappa J, Obando C. Real</w:t>
      </w:r>
      <w:r w:rsidRPr="002B5F7F">
        <w:rPr>
          <w:rFonts w:ascii="Times New Roman" w:eastAsia="CIDFont+F4" w:hAnsi="Times New Roman" w:cs="Times New Roman"/>
        </w:rPr>
        <w:t>‐</w:t>
      </w:r>
      <w:r w:rsidRPr="002B5F7F">
        <w:rPr>
          <w:rFonts w:ascii="Times New Roman" w:hAnsi="Times New Roman" w:cs="Times New Roman"/>
        </w:rPr>
        <w:t>world evidence on adherence, persistence, switching and dose escalation with biologics in adult inflammatory bowel disease in the United States: A systematic review. J of Clin Pharmacy and Thera. 2019; 44: 102-25</w:t>
      </w:r>
    </w:p>
    <w:p w14:paraId="2B02D368" w14:textId="172A7310" w:rsidR="002F0081" w:rsidRPr="00761F22" w:rsidRDefault="002F0081" w:rsidP="002F0081">
      <w:pPr>
        <w:pStyle w:val="ListParagraph"/>
        <w:numPr>
          <w:ilvl w:val="0"/>
          <w:numId w:val="9"/>
        </w:numPr>
        <w:autoSpaceDE w:val="0"/>
        <w:autoSpaceDN w:val="0"/>
        <w:adjustRightInd w:val="0"/>
        <w:spacing w:after="0" w:line="240" w:lineRule="auto"/>
        <w:rPr>
          <w:rFonts w:ascii="Times New Roman" w:hAnsi="Times New Roman" w:cs="Times New Roman"/>
        </w:rPr>
      </w:pPr>
      <w:r w:rsidRPr="002F0081">
        <w:rPr>
          <w:rFonts w:ascii="Times New Roman" w:hAnsi="Times New Roman" w:cs="Times New Roman"/>
          <w:color w:val="131413"/>
        </w:rPr>
        <w:lastRenderedPageBreak/>
        <w:t>Vromans L, Doyle G, Petak-Opel S, Rodiger A, Rottgemann M, Schlussel E, Stetter Eva. Shaping medicinal production: a before and after study exploring physician’s perspectives on the summary of product characteristics, BMJ Open 2013;3: e003033.doi:10.1136/bmjopen-2013-003033</w:t>
      </w:r>
    </w:p>
    <w:p w14:paraId="02FDD79E" w14:textId="77777777" w:rsidR="00761F22" w:rsidRDefault="00761F22" w:rsidP="00761F22">
      <w:pPr>
        <w:pStyle w:val="Default"/>
        <w:numPr>
          <w:ilvl w:val="0"/>
          <w:numId w:val="9"/>
        </w:numPr>
        <w:rPr>
          <w:rFonts w:ascii="Arial" w:hAnsi="Arial" w:cs="Arial"/>
          <w:sz w:val="26"/>
          <w:szCs w:val="26"/>
        </w:rPr>
      </w:pPr>
      <w:r w:rsidRPr="005C6BD7">
        <w:rPr>
          <w:rFonts w:ascii="Times New Roman" w:hAnsi="Times New Roman" w:cs="Times New Roman"/>
          <w:sz w:val="22"/>
          <w:szCs w:val="22"/>
        </w:rPr>
        <w:t xml:space="preserve">Schleiden L, Odukoya O, Chui M.  Older Adults’ Perceptions of E-Prescribing: Impact on Patient Care. </w:t>
      </w:r>
      <w:r w:rsidRPr="005C6BD7">
        <w:rPr>
          <w:rStyle w:val="jrnl"/>
          <w:rFonts w:ascii="Times New Roman" w:hAnsi="Times New Roman" w:cs="Times New Roman"/>
          <w:sz w:val="22"/>
          <w:szCs w:val="22"/>
        </w:rPr>
        <w:t>Perspect Health Inf Manag</w:t>
      </w:r>
      <w:r w:rsidRPr="005C6BD7">
        <w:rPr>
          <w:rFonts w:ascii="Times New Roman" w:hAnsi="Times New Roman" w:cs="Times New Roman"/>
          <w:sz w:val="22"/>
          <w:szCs w:val="22"/>
          <w:shd w:val="clear" w:color="auto" w:fill="FFFFFF"/>
        </w:rPr>
        <w:t xml:space="preserve">. 2015 Jan </w:t>
      </w:r>
      <w:proofErr w:type="gramStart"/>
      <w:r w:rsidRPr="005C6BD7">
        <w:rPr>
          <w:rFonts w:ascii="Times New Roman" w:hAnsi="Times New Roman" w:cs="Times New Roman"/>
          <w:sz w:val="22"/>
          <w:szCs w:val="22"/>
          <w:shd w:val="clear" w:color="auto" w:fill="FFFFFF"/>
        </w:rPr>
        <w:t>1;12:1</w:t>
      </w:r>
      <w:proofErr w:type="gramEnd"/>
      <w:r w:rsidRPr="005C6BD7">
        <w:rPr>
          <w:rFonts w:ascii="Times New Roman" w:hAnsi="Times New Roman" w:cs="Times New Roman"/>
          <w:sz w:val="22"/>
          <w:szCs w:val="22"/>
          <w:shd w:val="clear" w:color="auto" w:fill="FFFFFF"/>
        </w:rPr>
        <w:t>d. eCollection 2015</w:t>
      </w:r>
      <w:r>
        <w:rPr>
          <w:rFonts w:ascii="Times New Roman" w:hAnsi="Times New Roman" w:cs="Times New Roman"/>
          <w:sz w:val="22"/>
          <w:szCs w:val="22"/>
          <w:shd w:val="clear" w:color="auto" w:fill="FFFFFF"/>
        </w:rPr>
        <w:t>.</w:t>
      </w:r>
    </w:p>
    <w:p w14:paraId="5F4578A7" w14:textId="77777777" w:rsidR="00761F22" w:rsidRPr="00044528" w:rsidRDefault="00761F22" w:rsidP="00761F22">
      <w:pPr>
        <w:pStyle w:val="desc"/>
        <w:numPr>
          <w:ilvl w:val="0"/>
          <w:numId w:val="9"/>
        </w:numPr>
        <w:spacing w:before="0" w:beforeAutospacing="0" w:after="0" w:afterAutospacing="0"/>
        <w:rPr>
          <w:color w:val="000000"/>
          <w:sz w:val="22"/>
          <w:szCs w:val="22"/>
        </w:rPr>
      </w:pPr>
      <w:proofErr w:type="spellStart"/>
      <w:r w:rsidRPr="00044528">
        <w:rPr>
          <w:color w:val="000000"/>
          <w:sz w:val="22"/>
          <w:szCs w:val="22"/>
        </w:rPr>
        <w:t>Parv</w:t>
      </w:r>
      <w:proofErr w:type="spellEnd"/>
      <w:r w:rsidRPr="00044528">
        <w:rPr>
          <w:color w:val="000000"/>
          <w:sz w:val="22"/>
          <w:szCs w:val="22"/>
        </w:rPr>
        <w:t xml:space="preserve"> L, </w:t>
      </w:r>
      <w:proofErr w:type="spellStart"/>
      <w:r w:rsidRPr="00044528">
        <w:rPr>
          <w:color w:val="000000"/>
          <w:sz w:val="22"/>
          <w:szCs w:val="22"/>
        </w:rPr>
        <w:t>Kruus</w:t>
      </w:r>
      <w:proofErr w:type="spellEnd"/>
      <w:r w:rsidRPr="00044528">
        <w:rPr>
          <w:color w:val="000000"/>
          <w:sz w:val="22"/>
          <w:szCs w:val="22"/>
        </w:rPr>
        <w:t xml:space="preserve"> P, </w:t>
      </w:r>
      <w:proofErr w:type="spellStart"/>
      <w:r w:rsidRPr="00044528">
        <w:rPr>
          <w:color w:val="000000"/>
          <w:sz w:val="22"/>
          <w:szCs w:val="22"/>
        </w:rPr>
        <w:t>Mõtte</w:t>
      </w:r>
      <w:proofErr w:type="spellEnd"/>
      <w:r w:rsidRPr="00044528">
        <w:rPr>
          <w:color w:val="000000"/>
          <w:sz w:val="22"/>
          <w:szCs w:val="22"/>
        </w:rPr>
        <w:t xml:space="preserve"> K, Ross P. An evaluation of e-prescribing at a national level</w:t>
      </w:r>
    </w:p>
    <w:p w14:paraId="0732779D" w14:textId="77777777" w:rsidR="00761F22" w:rsidRPr="00044528" w:rsidRDefault="00761F22" w:rsidP="0051753E">
      <w:pPr>
        <w:pStyle w:val="details"/>
        <w:spacing w:before="0" w:beforeAutospacing="0" w:after="0" w:afterAutospacing="0"/>
        <w:ind w:left="720"/>
        <w:rPr>
          <w:color w:val="000000"/>
          <w:sz w:val="22"/>
          <w:szCs w:val="22"/>
        </w:rPr>
      </w:pPr>
      <w:r w:rsidRPr="00044528">
        <w:rPr>
          <w:rStyle w:val="jrnl"/>
          <w:color w:val="000000"/>
          <w:sz w:val="22"/>
          <w:szCs w:val="22"/>
        </w:rPr>
        <w:t>Inform Health Soc Care</w:t>
      </w:r>
      <w:r w:rsidRPr="00044528">
        <w:rPr>
          <w:color w:val="000000"/>
          <w:sz w:val="22"/>
          <w:szCs w:val="22"/>
        </w:rPr>
        <w:t xml:space="preserve">. 2016;41(1):78-95. doi: 10.3109/17538157.2014.948170. </w:t>
      </w:r>
      <w:proofErr w:type="spellStart"/>
      <w:r w:rsidRPr="00044528">
        <w:rPr>
          <w:color w:val="000000"/>
          <w:sz w:val="22"/>
          <w:szCs w:val="22"/>
        </w:rPr>
        <w:t>Epub</w:t>
      </w:r>
      <w:proofErr w:type="spellEnd"/>
      <w:r w:rsidRPr="00044528">
        <w:rPr>
          <w:color w:val="000000"/>
          <w:sz w:val="22"/>
          <w:szCs w:val="22"/>
        </w:rPr>
        <w:t xml:space="preserve"> 2014 Aug 12.</w:t>
      </w:r>
    </w:p>
    <w:p w14:paraId="48E8F31F" w14:textId="359FFAFF" w:rsidR="0008498F" w:rsidRPr="0051753E" w:rsidRDefault="0008498F" w:rsidP="0051753E">
      <w:pPr>
        <w:pStyle w:val="ListParagraph"/>
        <w:numPr>
          <w:ilvl w:val="0"/>
          <w:numId w:val="9"/>
        </w:numPr>
        <w:autoSpaceDE w:val="0"/>
        <w:autoSpaceDN w:val="0"/>
        <w:adjustRightInd w:val="0"/>
        <w:spacing w:after="0" w:line="240" w:lineRule="auto"/>
        <w:rPr>
          <w:rFonts w:ascii="Times New Roman" w:hAnsi="Times New Roman" w:cs="Times New Roman"/>
        </w:rPr>
      </w:pPr>
      <w:r w:rsidRPr="0051753E">
        <w:rPr>
          <w:rFonts w:ascii="Times New Roman" w:hAnsi="Times New Roman" w:cs="Times New Roman"/>
          <w:color w:val="333333"/>
        </w:rPr>
        <w:t>Deshpande S</w:t>
      </w:r>
      <w:r w:rsidRPr="0051753E">
        <w:rPr>
          <w:rFonts w:ascii="Times New Roman" w:hAnsi="Times New Roman" w:cs="Times New Roman"/>
          <w:color w:val="000000"/>
        </w:rPr>
        <w:t xml:space="preserve">, </w:t>
      </w:r>
      <w:r w:rsidRPr="0051753E">
        <w:rPr>
          <w:rFonts w:ascii="Times New Roman" w:hAnsi="Times New Roman" w:cs="Times New Roman"/>
          <w:color w:val="333333"/>
        </w:rPr>
        <w:t xml:space="preserve">Quek </w:t>
      </w:r>
      <w:proofErr w:type="gramStart"/>
      <w:r w:rsidRPr="0051753E">
        <w:rPr>
          <w:rFonts w:ascii="Times New Roman" w:hAnsi="Times New Roman" w:cs="Times New Roman"/>
          <w:color w:val="333333"/>
        </w:rPr>
        <w:t xml:space="preserve">RG </w:t>
      </w:r>
      <w:r w:rsidRPr="0051753E">
        <w:rPr>
          <w:rFonts w:ascii="Times New Roman" w:hAnsi="Times New Roman" w:cs="Times New Roman"/>
          <w:color w:val="000000"/>
        </w:rPr>
        <w:t>,</w:t>
      </w:r>
      <w:proofErr w:type="gramEnd"/>
      <w:r w:rsidRPr="0051753E">
        <w:rPr>
          <w:rFonts w:ascii="Times New Roman" w:hAnsi="Times New Roman" w:cs="Times New Roman"/>
          <w:color w:val="000000"/>
        </w:rPr>
        <w:t xml:space="preserve"> </w:t>
      </w:r>
      <w:r w:rsidRPr="0051753E">
        <w:rPr>
          <w:rFonts w:ascii="Times New Roman" w:hAnsi="Times New Roman" w:cs="Times New Roman"/>
          <w:color w:val="333333"/>
        </w:rPr>
        <w:t>Forbes CA</w:t>
      </w:r>
      <w:r w:rsidRPr="0051753E">
        <w:rPr>
          <w:rFonts w:ascii="Times New Roman" w:hAnsi="Times New Roman" w:cs="Times New Roman"/>
          <w:color w:val="000000"/>
        </w:rPr>
        <w:t xml:space="preserve">, </w:t>
      </w:r>
      <w:r w:rsidRPr="0051753E">
        <w:rPr>
          <w:rFonts w:ascii="Times New Roman" w:hAnsi="Times New Roman" w:cs="Times New Roman"/>
          <w:color w:val="333333"/>
        </w:rPr>
        <w:t xml:space="preserve">de Kock S </w:t>
      </w:r>
      <w:r w:rsidRPr="0051753E">
        <w:rPr>
          <w:rFonts w:ascii="Times New Roman" w:hAnsi="Times New Roman" w:cs="Times New Roman"/>
          <w:color w:val="000000"/>
        </w:rPr>
        <w:t xml:space="preserve">, </w:t>
      </w:r>
      <w:r w:rsidRPr="0051753E">
        <w:rPr>
          <w:rFonts w:ascii="Times New Roman" w:hAnsi="Times New Roman" w:cs="Times New Roman"/>
          <w:color w:val="333333"/>
        </w:rPr>
        <w:t>Kleijnen J</w:t>
      </w:r>
      <w:r w:rsidRPr="0051753E">
        <w:rPr>
          <w:rFonts w:ascii="Times New Roman" w:hAnsi="Times New Roman" w:cs="Times New Roman"/>
          <w:color w:val="000000"/>
        </w:rPr>
        <w:t xml:space="preserve">, </w:t>
      </w:r>
      <w:r w:rsidRPr="0051753E">
        <w:rPr>
          <w:rFonts w:ascii="Times New Roman" w:hAnsi="Times New Roman" w:cs="Times New Roman"/>
          <w:color w:val="333333"/>
        </w:rPr>
        <w:t>Gandra SR</w:t>
      </w:r>
      <w:r w:rsidRPr="0051753E">
        <w:rPr>
          <w:rFonts w:ascii="Times New Roman" w:hAnsi="Times New Roman" w:cs="Times New Roman"/>
          <w:color w:val="000000"/>
        </w:rPr>
        <w:t xml:space="preserve">, </w:t>
      </w:r>
      <w:r w:rsidRPr="0051753E">
        <w:rPr>
          <w:rFonts w:ascii="Times New Roman" w:hAnsi="Times New Roman" w:cs="Times New Roman"/>
          <w:color w:val="333333"/>
        </w:rPr>
        <w:t xml:space="preserve">Simpson RJ Jr </w:t>
      </w:r>
      <w:r w:rsidRPr="0051753E">
        <w:rPr>
          <w:rFonts w:ascii="Times New Roman" w:hAnsi="Times New Roman" w:cs="Times New Roman"/>
          <w:color w:val="000000"/>
        </w:rPr>
        <w:t>.</w:t>
      </w:r>
      <w:r w:rsidRPr="0051753E">
        <w:rPr>
          <w:rFonts w:ascii="Times New Roman" w:hAnsi="Times New Roman" w:cs="Times New Roman"/>
        </w:rPr>
        <w:t xml:space="preserve"> A systematic review to assess adherence and persistence with statins. </w:t>
      </w:r>
      <w:r w:rsidRPr="0051753E">
        <w:rPr>
          <w:rFonts w:ascii="Times New Roman" w:hAnsi="Times New Roman" w:cs="Times New Roman"/>
          <w:color w:val="333333"/>
        </w:rPr>
        <w:t xml:space="preserve">Curr Med Res Opin. </w:t>
      </w:r>
      <w:r w:rsidRPr="0051753E">
        <w:rPr>
          <w:rFonts w:ascii="Times New Roman" w:hAnsi="Times New Roman" w:cs="Times New Roman"/>
          <w:color w:val="000000"/>
        </w:rPr>
        <w:t>2017; 33 :769-778.</w:t>
      </w:r>
    </w:p>
    <w:p w14:paraId="2BC3BA1D" w14:textId="77777777" w:rsidR="0008498F" w:rsidRPr="006F2855" w:rsidRDefault="0008498F" w:rsidP="006F2855">
      <w:pPr>
        <w:pStyle w:val="ListParagraph"/>
        <w:numPr>
          <w:ilvl w:val="0"/>
          <w:numId w:val="9"/>
        </w:numPr>
        <w:autoSpaceDE w:val="0"/>
        <w:autoSpaceDN w:val="0"/>
        <w:adjustRightInd w:val="0"/>
        <w:spacing w:after="0" w:line="240" w:lineRule="auto"/>
        <w:rPr>
          <w:rStyle w:val="Hyperlink"/>
          <w:rFonts w:ascii="Times New Roman" w:hAnsi="Times New Roman" w:cs="Times New Roman"/>
          <w:color w:val="131413"/>
        </w:rPr>
      </w:pPr>
      <w:r w:rsidRPr="006F2855">
        <w:rPr>
          <w:rFonts w:ascii="Times New Roman" w:hAnsi="Times New Roman" w:cs="Times New Roman"/>
          <w:color w:val="131413"/>
        </w:rPr>
        <w:t xml:space="preserve">Pham P, Brown J. Real-world adherence for direct oral anticoagulants in a newly diagnosed atrial fibrillation cohort: does the dosing interval matter? Pham and Brown BMC Cardiovascular Disorders 2019; 19: 64-79. </w:t>
      </w:r>
      <w:hyperlink r:id="rId7" w:history="1">
        <w:r w:rsidRPr="006F2855">
          <w:rPr>
            <w:rStyle w:val="Hyperlink"/>
            <w:rFonts w:ascii="Times New Roman" w:hAnsi="Times New Roman" w:cs="Times New Roman"/>
          </w:rPr>
          <w:t>https://doi.org/10.1186/s12872-019-1033-3</w:t>
        </w:r>
      </w:hyperlink>
    </w:p>
    <w:p w14:paraId="72ACF3A0" w14:textId="0EC7B9D0" w:rsidR="000D199B" w:rsidRPr="005963B6" w:rsidRDefault="000D199B" w:rsidP="002370DC">
      <w:pPr>
        <w:pStyle w:val="ListParagraph"/>
        <w:numPr>
          <w:ilvl w:val="0"/>
          <w:numId w:val="9"/>
        </w:numPr>
        <w:rPr>
          <w:rFonts w:ascii="Times New Roman" w:hAnsi="Times New Roman" w:cs="Times New Roman"/>
        </w:rPr>
      </w:pPr>
      <w:r w:rsidRPr="005963B6">
        <w:rPr>
          <w:rFonts w:ascii="Times New Roman" w:hAnsi="Times New Roman" w:cs="Times New Roman"/>
        </w:rPr>
        <w:t xml:space="preserve">Liddy C., Afkham A., </w:t>
      </w:r>
      <w:proofErr w:type="spellStart"/>
      <w:r w:rsidRPr="005963B6">
        <w:rPr>
          <w:rFonts w:ascii="Times New Roman" w:hAnsi="Times New Roman" w:cs="Times New Roman"/>
        </w:rPr>
        <w:t>Drosinis</w:t>
      </w:r>
      <w:proofErr w:type="spellEnd"/>
      <w:r w:rsidRPr="005963B6">
        <w:rPr>
          <w:rFonts w:ascii="Times New Roman" w:hAnsi="Times New Roman" w:cs="Times New Roman"/>
        </w:rPr>
        <w:t xml:space="preserve"> P et al. Impact of and Satisfaction with a New e</w:t>
      </w:r>
      <w:r w:rsidR="0008498F">
        <w:rPr>
          <w:rFonts w:ascii="Times New Roman" w:hAnsi="Times New Roman" w:cs="Times New Roman"/>
        </w:rPr>
        <w:t xml:space="preserve"> </w:t>
      </w:r>
      <w:r w:rsidRPr="005963B6">
        <w:rPr>
          <w:rFonts w:ascii="Times New Roman" w:hAnsi="Times New Roman" w:cs="Times New Roman"/>
        </w:rPr>
        <w:t>Consult Service: A Mixed Methods Study of Primary Care Providers. J. Am. Board Fam. Med. 2015; 28: 394–403.</w:t>
      </w:r>
    </w:p>
    <w:p w14:paraId="7245F1A5" w14:textId="1231FA72" w:rsidR="005963B6" w:rsidRDefault="005963B6" w:rsidP="002370DC">
      <w:pPr>
        <w:pStyle w:val="ListParagraph"/>
        <w:numPr>
          <w:ilvl w:val="0"/>
          <w:numId w:val="9"/>
        </w:numPr>
        <w:rPr>
          <w:rFonts w:ascii="Times New Roman" w:hAnsi="Times New Roman" w:cs="Times New Roman"/>
        </w:rPr>
      </w:pPr>
      <w:r w:rsidRPr="005963B6">
        <w:rPr>
          <w:rFonts w:ascii="Times New Roman" w:hAnsi="Times New Roman" w:cs="Times New Roman"/>
        </w:rPr>
        <w:t>Edwards H., Marques E., Hollingworth W</w:t>
      </w:r>
      <w:r>
        <w:rPr>
          <w:rFonts w:ascii="Times New Roman" w:hAnsi="Times New Roman" w:cs="Times New Roman"/>
        </w:rPr>
        <w:t xml:space="preserve"> et al. </w:t>
      </w:r>
      <w:r w:rsidRPr="005963B6">
        <w:rPr>
          <w:rFonts w:ascii="Times New Roman" w:hAnsi="Times New Roman" w:cs="Times New Roman"/>
        </w:rPr>
        <w:t>Use of a Primary Care Online Consultation System, by Whom, When and Why: Evaluation of a Pilot Observational Study in 36 General Practices in South West England. BMJ Open. 2017;</w:t>
      </w:r>
      <w:r>
        <w:rPr>
          <w:rFonts w:ascii="Times New Roman" w:hAnsi="Times New Roman" w:cs="Times New Roman"/>
        </w:rPr>
        <w:t xml:space="preserve"> </w:t>
      </w:r>
      <w:r w:rsidRPr="005963B6">
        <w:rPr>
          <w:rFonts w:ascii="Times New Roman" w:hAnsi="Times New Roman" w:cs="Times New Roman"/>
        </w:rPr>
        <w:t>7</w:t>
      </w:r>
      <w:r>
        <w:rPr>
          <w:rFonts w:ascii="Times New Roman" w:hAnsi="Times New Roman" w:cs="Times New Roman"/>
        </w:rPr>
        <w:t xml:space="preserve"> </w:t>
      </w:r>
      <w:r w:rsidRPr="005963B6">
        <w:rPr>
          <w:rFonts w:ascii="Times New Roman" w:hAnsi="Times New Roman" w:cs="Times New Roman"/>
        </w:rPr>
        <w:t>doi: 10.1136/bmjopen-2017-016901</w:t>
      </w:r>
    </w:p>
    <w:p w14:paraId="0B211720" w14:textId="41E26C08" w:rsidR="00716424" w:rsidRPr="00716424" w:rsidRDefault="00716424" w:rsidP="00716424">
      <w:pPr>
        <w:pStyle w:val="ListParagraph"/>
        <w:numPr>
          <w:ilvl w:val="0"/>
          <w:numId w:val="9"/>
        </w:numPr>
        <w:rPr>
          <w:rFonts w:ascii="Times New Roman" w:hAnsi="Times New Roman" w:cs="Times New Roman"/>
        </w:rPr>
      </w:pPr>
      <w:proofErr w:type="spellStart"/>
      <w:r w:rsidRPr="00716424">
        <w:rPr>
          <w:rFonts w:ascii="Times New Roman" w:hAnsi="Times New Roman" w:cs="Times New Roman"/>
        </w:rPr>
        <w:t>Hallgren</w:t>
      </w:r>
      <w:proofErr w:type="spellEnd"/>
      <w:r w:rsidRPr="00716424">
        <w:rPr>
          <w:rFonts w:ascii="Times New Roman" w:hAnsi="Times New Roman" w:cs="Times New Roman"/>
        </w:rPr>
        <w:t xml:space="preserve"> M, </w:t>
      </w:r>
      <w:proofErr w:type="spellStart"/>
      <w:r w:rsidRPr="00716424">
        <w:rPr>
          <w:rFonts w:ascii="Times New Roman" w:hAnsi="Times New Roman" w:cs="Times New Roman"/>
        </w:rPr>
        <w:t>Kraepelien</w:t>
      </w:r>
      <w:proofErr w:type="spellEnd"/>
      <w:r w:rsidRPr="00716424">
        <w:rPr>
          <w:rFonts w:ascii="Times New Roman" w:hAnsi="Times New Roman" w:cs="Times New Roman"/>
        </w:rPr>
        <w:t xml:space="preserve"> M, </w:t>
      </w:r>
      <w:proofErr w:type="spellStart"/>
      <w:r w:rsidRPr="00716424">
        <w:rPr>
          <w:rFonts w:ascii="Times New Roman" w:hAnsi="Times New Roman" w:cs="Times New Roman"/>
        </w:rPr>
        <w:t>Öjehagen</w:t>
      </w:r>
      <w:proofErr w:type="spellEnd"/>
      <w:r w:rsidRPr="00716424">
        <w:rPr>
          <w:rFonts w:ascii="Times New Roman" w:hAnsi="Times New Roman" w:cs="Times New Roman"/>
        </w:rPr>
        <w:t xml:space="preserve"> A et al. Physical exercise and internet-based cognitive-behavioural therapy in the treatment of depression: randomised controlled trial. Br J Psychiatry. 2015 Sep;207(3):227-34. doi: 10.1192/bjp.bp.114.160101. </w:t>
      </w:r>
      <w:proofErr w:type="spellStart"/>
      <w:r w:rsidRPr="00716424">
        <w:rPr>
          <w:rFonts w:ascii="Times New Roman" w:hAnsi="Times New Roman" w:cs="Times New Roman"/>
        </w:rPr>
        <w:t>Epub</w:t>
      </w:r>
      <w:proofErr w:type="spellEnd"/>
      <w:r w:rsidRPr="00716424">
        <w:rPr>
          <w:rFonts w:ascii="Times New Roman" w:hAnsi="Times New Roman" w:cs="Times New Roman"/>
        </w:rPr>
        <w:t xml:space="preserve"> 2015 Jun 18.</w:t>
      </w:r>
    </w:p>
    <w:p w14:paraId="60410B44" w14:textId="024009B6" w:rsidR="00716424" w:rsidRDefault="00483CC1" w:rsidP="00716424">
      <w:pPr>
        <w:pStyle w:val="ListParagraph"/>
        <w:numPr>
          <w:ilvl w:val="0"/>
          <w:numId w:val="9"/>
        </w:numPr>
        <w:rPr>
          <w:rFonts w:ascii="Times New Roman" w:hAnsi="Times New Roman" w:cs="Times New Roman"/>
        </w:rPr>
      </w:pPr>
      <w:r w:rsidRPr="00483CC1">
        <w:rPr>
          <w:rFonts w:ascii="Times New Roman" w:hAnsi="Times New Roman" w:cs="Times New Roman"/>
        </w:rPr>
        <w:t xml:space="preserve">Andrews, G, </w:t>
      </w:r>
      <w:proofErr w:type="spellStart"/>
      <w:r w:rsidRPr="00483CC1">
        <w:rPr>
          <w:rFonts w:ascii="Times New Roman" w:hAnsi="Times New Roman" w:cs="Times New Roman"/>
        </w:rPr>
        <w:t>Cuijpers</w:t>
      </w:r>
      <w:proofErr w:type="spellEnd"/>
      <w:r w:rsidRPr="00483CC1">
        <w:rPr>
          <w:rFonts w:ascii="Times New Roman" w:hAnsi="Times New Roman" w:cs="Times New Roman"/>
        </w:rPr>
        <w:t xml:space="preserve">, P, </w:t>
      </w:r>
      <w:proofErr w:type="spellStart"/>
      <w:r w:rsidRPr="00483CC1">
        <w:rPr>
          <w:rFonts w:ascii="Times New Roman" w:hAnsi="Times New Roman" w:cs="Times New Roman"/>
        </w:rPr>
        <w:t>Craske</w:t>
      </w:r>
      <w:proofErr w:type="spellEnd"/>
      <w:r w:rsidRPr="00483CC1">
        <w:rPr>
          <w:rFonts w:ascii="Times New Roman" w:hAnsi="Times New Roman" w:cs="Times New Roman"/>
        </w:rPr>
        <w:t>, MG</w:t>
      </w:r>
      <w:r>
        <w:rPr>
          <w:rFonts w:ascii="Times New Roman" w:hAnsi="Times New Roman" w:cs="Times New Roman"/>
        </w:rPr>
        <w:t xml:space="preserve"> et al</w:t>
      </w:r>
      <w:r w:rsidRPr="00483CC1">
        <w:rPr>
          <w:rFonts w:ascii="Times New Roman" w:hAnsi="Times New Roman" w:cs="Times New Roman"/>
        </w:rPr>
        <w:t xml:space="preserve">. Computer therapy for the anxiety and depressive disorders is effective, acceptable and practical health care: a meta-analysis. </w:t>
      </w:r>
      <w:proofErr w:type="spellStart"/>
      <w:r w:rsidRPr="00483CC1">
        <w:rPr>
          <w:rFonts w:ascii="Times New Roman" w:hAnsi="Times New Roman" w:cs="Times New Roman"/>
        </w:rPr>
        <w:t>PLoS</w:t>
      </w:r>
      <w:proofErr w:type="spellEnd"/>
      <w:r w:rsidRPr="00483CC1">
        <w:rPr>
          <w:rFonts w:ascii="Times New Roman" w:hAnsi="Times New Roman" w:cs="Times New Roman"/>
        </w:rPr>
        <w:t xml:space="preserve"> One. 2010; 5: e13196</w:t>
      </w:r>
    </w:p>
    <w:p w14:paraId="0484D520" w14:textId="7AB3ED60" w:rsidR="006D5298" w:rsidRDefault="006D5298" w:rsidP="00B346B7">
      <w:pPr>
        <w:pStyle w:val="Default"/>
        <w:ind w:left="720"/>
        <w:rPr>
          <w:color w:val="auto"/>
          <w:sz w:val="22"/>
          <w:szCs w:val="22"/>
        </w:rPr>
      </w:pPr>
    </w:p>
    <w:p w14:paraId="63A6837E" w14:textId="060F704A" w:rsidR="00404321" w:rsidRDefault="00404321" w:rsidP="00B346B7">
      <w:pPr>
        <w:pStyle w:val="Default"/>
        <w:ind w:left="720"/>
        <w:rPr>
          <w:color w:val="auto"/>
          <w:sz w:val="22"/>
          <w:szCs w:val="22"/>
        </w:rPr>
      </w:pPr>
    </w:p>
    <w:p w14:paraId="19536F7F" w14:textId="30E91FD9" w:rsidR="00404321" w:rsidRDefault="00404321" w:rsidP="00B346B7">
      <w:pPr>
        <w:pStyle w:val="Default"/>
        <w:ind w:left="720"/>
        <w:rPr>
          <w:color w:val="auto"/>
          <w:sz w:val="22"/>
          <w:szCs w:val="22"/>
        </w:rPr>
      </w:pPr>
    </w:p>
    <w:p w14:paraId="3C1C3B61" w14:textId="77777777" w:rsidR="00404321" w:rsidRPr="00404321" w:rsidRDefault="00404321" w:rsidP="00404321">
      <w:pPr>
        <w:autoSpaceDE w:val="0"/>
        <w:autoSpaceDN w:val="0"/>
        <w:adjustRightInd w:val="0"/>
        <w:spacing w:after="0" w:line="240" w:lineRule="auto"/>
        <w:rPr>
          <w:rFonts w:ascii="Times New Roman" w:hAnsi="Times New Roman" w:cs="Times New Roman"/>
          <w:color w:val="000000"/>
          <w:sz w:val="24"/>
          <w:szCs w:val="24"/>
        </w:rPr>
      </w:pPr>
    </w:p>
    <w:p w14:paraId="44396E95" w14:textId="77777777" w:rsidR="005B6685" w:rsidRPr="005C6BD7" w:rsidRDefault="005B6685" w:rsidP="00D2260C">
      <w:pPr>
        <w:pStyle w:val="Default"/>
        <w:rPr>
          <w:rFonts w:ascii="Times New Roman" w:hAnsi="Times New Roman" w:cs="Times New Roman"/>
          <w:color w:val="auto"/>
          <w:sz w:val="22"/>
          <w:szCs w:val="22"/>
        </w:rPr>
      </w:pPr>
      <w:bookmarkStart w:id="0" w:name="_GoBack"/>
      <w:bookmarkEnd w:id="0"/>
    </w:p>
    <w:sectPr w:rsidR="005B6685" w:rsidRPr="005C6B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alaLancetPro">
    <w:altName w:val="Yu Gothic"/>
    <w:panose1 w:val="00000000000000000000"/>
    <w:charset w:val="80"/>
    <w:family w:val="roman"/>
    <w:notTrueType/>
    <w:pitch w:val="default"/>
    <w:sig w:usb0="00000001" w:usb1="08070000" w:usb2="00000010" w:usb3="00000000" w:csb0="00020000" w:csb1="00000000"/>
  </w:font>
  <w:font w:name="HelveticaNeueLTStd-Roman">
    <w:altName w:val="Yu Gothic"/>
    <w:panose1 w:val="00000000000000000000"/>
    <w:charset w:val="80"/>
    <w:family w:val="swiss"/>
    <w:notTrueType/>
    <w:pitch w:val="default"/>
    <w:sig w:usb0="00000001" w:usb1="08070000" w:usb2="00000010" w:usb3="00000000" w:csb0="00020000" w:csb1="00000000"/>
  </w:font>
  <w:font w:name="CIDFont+F4">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A9BEE1"/>
    <w:multiLevelType w:val="hybridMultilevel"/>
    <w:tmpl w:val="C0175F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A514BA"/>
    <w:multiLevelType w:val="hybridMultilevel"/>
    <w:tmpl w:val="5ADEE1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9411DBB"/>
    <w:multiLevelType w:val="hybridMultilevel"/>
    <w:tmpl w:val="F2236B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F87BCCA"/>
    <w:multiLevelType w:val="hybridMultilevel"/>
    <w:tmpl w:val="0EEC600A"/>
    <w:lvl w:ilvl="0" w:tplc="FFFFFFFF">
      <w:start w:val="1"/>
      <w:numFmt w:val="ideographDigital"/>
      <w:lvlText w:val="•"/>
      <w:lvlJc w:val="left"/>
    </w:lvl>
    <w:lvl w:ilvl="1" w:tplc="FFFFFFFF">
      <w:start w:val="1"/>
      <w:numFmt w:val="lowerLetter"/>
      <w:lvlText w:val="•"/>
      <w:lvlJc w:val="left"/>
    </w:lvl>
    <w:lvl w:ilvl="2" w:tplc="38070583">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94AD09"/>
    <w:multiLevelType w:val="hybridMultilevel"/>
    <w:tmpl w:val="847B2846"/>
    <w:lvl w:ilvl="0" w:tplc="FFFFFFFF">
      <w:start w:val="1"/>
      <w:numFmt w:val="ideographDigital"/>
      <w:lvlText w:val="•"/>
      <w:lvlJc w:val="left"/>
    </w:lvl>
    <w:lvl w:ilvl="1" w:tplc="FFFFFFFF">
      <w:start w:val="1"/>
      <w:numFmt w:val="lowerLetter"/>
      <w:lvlText w:val="•"/>
      <w:lvlJc w:val="left"/>
    </w:lvl>
    <w:lvl w:ilvl="2" w:tplc="3A0DD1FF">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795720"/>
    <w:multiLevelType w:val="hybridMultilevel"/>
    <w:tmpl w:val="6EA66A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C493A"/>
    <w:multiLevelType w:val="hybridMultilevel"/>
    <w:tmpl w:val="704A5DF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6342D5"/>
    <w:multiLevelType w:val="hybridMultilevel"/>
    <w:tmpl w:val="D52EF16C"/>
    <w:lvl w:ilvl="0" w:tplc="61CEB54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70AE3"/>
    <w:multiLevelType w:val="hybridMultilevel"/>
    <w:tmpl w:val="3DD80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E26B69"/>
    <w:multiLevelType w:val="hybridMultilevel"/>
    <w:tmpl w:val="4B064F03"/>
    <w:lvl w:ilvl="0" w:tplc="FFFFFFFF">
      <w:start w:val="1"/>
      <w:numFmt w:val="ideographDigital"/>
      <w:lvlText w:val="•"/>
      <w:lvlJc w:val="left"/>
    </w:lvl>
    <w:lvl w:ilvl="1" w:tplc="A8FD7DF2">
      <w:start w:val="1"/>
      <w:numFmt w:val="bullet"/>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C036C5C"/>
    <w:multiLevelType w:val="hybridMultilevel"/>
    <w:tmpl w:val="EEECA6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17C6561"/>
    <w:multiLevelType w:val="hybridMultilevel"/>
    <w:tmpl w:val="23E202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41F7925"/>
    <w:multiLevelType w:val="hybridMultilevel"/>
    <w:tmpl w:val="A510D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ED1600"/>
    <w:multiLevelType w:val="hybridMultilevel"/>
    <w:tmpl w:val="B4B88790"/>
    <w:lvl w:ilvl="0" w:tplc="49629B64">
      <w:start w:val="1"/>
      <w:numFmt w:val="decimal"/>
      <w:lvlText w:val="%1."/>
      <w:lvlJc w:val="left"/>
      <w:pPr>
        <w:ind w:left="720" w:hanging="360"/>
      </w:pPr>
      <w:rPr>
        <w:rFonts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10"/>
  </w:num>
  <w:num w:numId="5">
    <w:abstractNumId w:val="9"/>
  </w:num>
  <w:num w:numId="6">
    <w:abstractNumId w:val="2"/>
  </w:num>
  <w:num w:numId="7">
    <w:abstractNumId w:val="4"/>
  </w:num>
  <w:num w:numId="8">
    <w:abstractNumId w:val="8"/>
  </w:num>
  <w:num w:numId="9">
    <w:abstractNumId w:val="13"/>
  </w:num>
  <w:num w:numId="10">
    <w:abstractNumId w:val="11"/>
  </w:num>
  <w:num w:numId="11">
    <w:abstractNumId w:val="7"/>
  </w:num>
  <w:num w:numId="12">
    <w:abstractNumId w:val="1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CC5"/>
    <w:rsid w:val="00020C2F"/>
    <w:rsid w:val="00033A40"/>
    <w:rsid w:val="000418B9"/>
    <w:rsid w:val="00044528"/>
    <w:rsid w:val="000638F1"/>
    <w:rsid w:val="000664F5"/>
    <w:rsid w:val="00074D64"/>
    <w:rsid w:val="00077B19"/>
    <w:rsid w:val="00081081"/>
    <w:rsid w:val="0008498F"/>
    <w:rsid w:val="00096904"/>
    <w:rsid w:val="000C5BAC"/>
    <w:rsid w:val="000D199B"/>
    <w:rsid w:val="000E7DDA"/>
    <w:rsid w:val="000F4D19"/>
    <w:rsid w:val="00101459"/>
    <w:rsid w:val="0010562E"/>
    <w:rsid w:val="00124CC5"/>
    <w:rsid w:val="00124E3A"/>
    <w:rsid w:val="0014533F"/>
    <w:rsid w:val="00150064"/>
    <w:rsid w:val="001547B2"/>
    <w:rsid w:val="00183C43"/>
    <w:rsid w:val="0018799E"/>
    <w:rsid w:val="001956E3"/>
    <w:rsid w:val="0019634C"/>
    <w:rsid w:val="001C19CF"/>
    <w:rsid w:val="001E2AD6"/>
    <w:rsid w:val="001F3E6A"/>
    <w:rsid w:val="00205652"/>
    <w:rsid w:val="00212704"/>
    <w:rsid w:val="002370DC"/>
    <w:rsid w:val="00237B3F"/>
    <w:rsid w:val="00241215"/>
    <w:rsid w:val="00245847"/>
    <w:rsid w:val="00251F7E"/>
    <w:rsid w:val="00274615"/>
    <w:rsid w:val="00274B25"/>
    <w:rsid w:val="002B0489"/>
    <w:rsid w:val="002B201A"/>
    <w:rsid w:val="002B5F7F"/>
    <w:rsid w:val="002B7EE7"/>
    <w:rsid w:val="002C01C5"/>
    <w:rsid w:val="002D3DCB"/>
    <w:rsid w:val="002D5685"/>
    <w:rsid w:val="002F0081"/>
    <w:rsid w:val="002F38E2"/>
    <w:rsid w:val="0030467B"/>
    <w:rsid w:val="00321E6C"/>
    <w:rsid w:val="00331739"/>
    <w:rsid w:val="0033530D"/>
    <w:rsid w:val="003456DB"/>
    <w:rsid w:val="003651F1"/>
    <w:rsid w:val="00375FC7"/>
    <w:rsid w:val="00377333"/>
    <w:rsid w:val="003A2814"/>
    <w:rsid w:val="003B53BC"/>
    <w:rsid w:val="003E309C"/>
    <w:rsid w:val="003E72B4"/>
    <w:rsid w:val="00404321"/>
    <w:rsid w:val="00421BA3"/>
    <w:rsid w:val="00426E46"/>
    <w:rsid w:val="00452DF1"/>
    <w:rsid w:val="00456A83"/>
    <w:rsid w:val="0046775B"/>
    <w:rsid w:val="00480D62"/>
    <w:rsid w:val="00481709"/>
    <w:rsid w:val="00483CC1"/>
    <w:rsid w:val="00487C2F"/>
    <w:rsid w:val="004B75D8"/>
    <w:rsid w:val="004C0713"/>
    <w:rsid w:val="004C0E19"/>
    <w:rsid w:val="004D0514"/>
    <w:rsid w:val="004D16ED"/>
    <w:rsid w:val="004D5889"/>
    <w:rsid w:val="004F1B2F"/>
    <w:rsid w:val="00513C8F"/>
    <w:rsid w:val="0051753E"/>
    <w:rsid w:val="00532897"/>
    <w:rsid w:val="00532D8D"/>
    <w:rsid w:val="005579DC"/>
    <w:rsid w:val="005731D1"/>
    <w:rsid w:val="00591B9E"/>
    <w:rsid w:val="0059499E"/>
    <w:rsid w:val="005963B6"/>
    <w:rsid w:val="005B6685"/>
    <w:rsid w:val="005C6BD7"/>
    <w:rsid w:val="006023A8"/>
    <w:rsid w:val="006115DA"/>
    <w:rsid w:val="006150B4"/>
    <w:rsid w:val="00615401"/>
    <w:rsid w:val="00655144"/>
    <w:rsid w:val="0067121D"/>
    <w:rsid w:val="0068216D"/>
    <w:rsid w:val="006A5C84"/>
    <w:rsid w:val="006B25C6"/>
    <w:rsid w:val="006B487C"/>
    <w:rsid w:val="006B5783"/>
    <w:rsid w:val="006C237B"/>
    <w:rsid w:val="006C613E"/>
    <w:rsid w:val="006D5298"/>
    <w:rsid w:val="006F2855"/>
    <w:rsid w:val="006F2E78"/>
    <w:rsid w:val="00703C06"/>
    <w:rsid w:val="0070767B"/>
    <w:rsid w:val="00716424"/>
    <w:rsid w:val="007171C3"/>
    <w:rsid w:val="00723DB2"/>
    <w:rsid w:val="00761F22"/>
    <w:rsid w:val="007804CE"/>
    <w:rsid w:val="00784E1F"/>
    <w:rsid w:val="007907F2"/>
    <w:rsid w:val="00796465"/>
    <w:rsid w:val="007B1492"/>
    <w:rsid w:val="007D47D1"/>
    <w:rsid w:val="007E3120"/>
    <w:rsid w:val="007E55F5"/>
    <w:rsid w:val="00801649"/>
    <w:rsid w:val="008057BB"/>
    <w:rsid w:val="00825A46"/>
    <w:rsid w:val="008344BD"/>
    <w:rsid w:val="0086064E"/>
    <w:rsid w:val="008663D1"/>
    <w:rsid w:val="00875C38"/>
    <w:rsid w:val="0087732A"/>
    <w:rsid w:val="008E5AD3"/>
    <w:rsid w:val="008E7F43"/>
    <w:rsid w:val="009057D4"/>
    <w:rsid w:val="00912FAD"/>
    <w:rsid w:val="00946009"/>
    <w:rsid w:val="00950E43"/>
    <w:rsid w:val="009637FC"/>
    <w:rsid w:val="009872FA"/>
    <w:rsid w:val="00991549"/>
    <w:rsid w:val="009B34F4"/>
    <w:rsid w:val="009B6864"/>
    <w:rsid w:val="009C08E8"/>
    <w:rsid w:val="009C19CE"/>
    <w:rsid w:val="00A114E7"/>
    <w:rsid w:val="00A11F32"/>
    <w:rsid w:val="00A25C29"/>
    <w:rsid w:val="00A3606F"/>
    <w:rsid w:val="00A66248"/>
    <w:rsid w:val="00A86060"/>
    <w:rsid w:val="00AA39CC"/>
    <w:rsid w:val="00AA732E"/>
    <w:rsid w:val="00AD4031"/>
    <w:rsid w:val="00AF5F86"/>
    <w:rsid w:val="00B169F9"/>
    <w:rsid w:val="00B22DE9"/>
    <w:rsid w:val="00B31660"/>
    <w:rsid w:val="00B346B7"/>
    <w:rsid w:val="00B47066"/>
    <w:rsid w:val="00B550F6"/>
    <w:rsid w:val="00B55D1C"/>
    <w:rsid w:val="00B71FB5"/>
    <w:rsid w:val="00B9793B"/>
    <w:rsid w:val="00BB463A"/>
    <w:rsid w:val="00BE5563"/>
    <w:rsid w:val="00C102D1"/>
    <w:rsid w:val="00C11483"/>
    <w:rsid w:val="00C3406A"/>
    <w:rsid w:val="00C4382C"/>
    <w:rsid w:val="00C64B06"/>
    <w:rsid w:val="00C743C2"/>
    <w:rsid w:val="00C90AA4"/>
    <w:rsid w:val="00CC32C6"/>
    <w:rsid w:val="00CE4637"/>
    <w:rsid w:val="00D0654D"/>
    <w:rsid w:val="00D167AB"/>
    <w:rsid w:val="00D21608"/>
    <w:rsid w:val="00D2260C"/>
    <w:rsid w:val="00D54F91"/>
    <w:rsid w:val="00D961FD"/>
    <w:rsid w:val="00DA0097"/>
    <w:rsid w:val="00DB2019"/>
    <w:rsid w:val="00DD2D98"/>
    <w:rsid w:val="00DD6E53"/>
    <w:rsid w:val="00DE607F"/>
    <w:rsid w:val="00DF35BF"/>
    <w:rsid w:val="00E06EE5"/>
    <w:rsid w:val="00E17ED8"/>
    <w:rsid w:val="00E361A0"/>
    <w:rsid w:val="00E60364"/>
    <w:rsid w:val="00E60D36"/>
    <w:rsid w:val="00E90AB7"/>
    <w:rsid w:val="00E96965"/>
    <w:rsid w:val="00EC1EB1"/>
    <w:rsid w:val="00EE159A"/>
    <w:rsid w:val="00EE2C65"/>
    <w:rsid w:val="00EF1073"/>
    <w:rsid w:val="00F1135E"/>
    <w:rsid w:val="00F11CE2"/>
    <w:rsid w:val="00F202A5"/>
    <w:rsid w:val="00F271CA"/>
    <w:rsid w:val="00F31144"/>
    <w:rsid w:val="00F37F08"/>
    <w:rsid w:val="00F44132"/>
    <w:rsid w:val="00F606DD"/>
    <w:rsid w:val="00F66E8D"/>
    <w:rsid w:val="00F76A9C"/>
    <w:rsid w:val="00F8052A"/>
    <w:rsid w:val="00F84563"/>
    <w:rsid w:val="00F977F7"/>
    <w:rsid w:val="00FA616F"/>
    <w:rsid w:val="00FA70D9"/>
    <w:rsid w:val="00FB5E56"/>
    <w:rsid w:val="00FC6BB7"/>
    <w:rsid w:val="00FE0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DF8EF"/>
  <w15:chartTrackingRefBased/>
  <w15:docId w15:val="{58FA09B8-E69E-4B6A-B591-B1A35CA8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7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4CC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24C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CC5"/>
    <w:rPr>
      <w:rFonts w:ascii="Segoe UI" w:hAnsi="Segoe UI" w:cs="Segoe UI"/>
      <w:sz w:val="18"/>
      <w:szCs w:val="18"/>
    </w:rPr>
  </w:style>
  <w:style w:type="character" w:customStyle="1" w:styleId="ref-title">
    <w:name w:val="ref-title"/>
    <w:basedOn w:val="DefaultParagraphFont"/>
    <w:rsid w:val="00331739"/>
  </w:style>
  <w:style w:type="character" w:customStyle="1" w:styleId="ref-journal">
    <w:name w:val="ref-journal"/>
    <w:basedOn w:val="DefaultParagraphFont"/>
    <w:rsid w:val="00331739"/>
  </w:style>
  <w:style w:type="character" w:customStyle="1" w:styleId="ref-vol">
    <w:name w:val="ref-vol"/>
    <w:basedOn w:val="DefaultParagraphFont"/>
    <w:rsid w:val="00331739"/>
  </w:style>
  <w:style w:type="paragraph" w:styleId="ListParagraph">
    <w:name w:val="List Paragraph"/>
    <w:basedOn w:val="Normal"/>
    <w:uiPriority w:val="34"/>
    <w:qFormat/>
    <w:rsid w:val="00D54F91"/>
    <w:pPr>
      <w:ind w:left="720"/>
      <w:contextualSpacing/>
    </w:pPr>
  </w:style>
  <w:style w:type="character" w:customStyle="1" w:styleId="Heading1Char">
    <w:name w:val="Heading 1 Char"/>
    <w:basedOn w:val="DefaultParagraphFont"/>
    <w:link w:val="Heading1"/>
    <w:uiPriority w:val="9"/>
    <w:rsid w:val="009057D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6115DA"/>
    <w:rPr>
      <w:sz w:val="16"/>
      <w:szCs w:val="16"/>
    </w:rPr>
  </w:style>
  <w:style w:type="paragraph" w:styleId="CommentText">
    <w:name w:val="annotation text"/>
    <w:basedOn w:val="Normal"/>
    <w:link w:val="CommentTextChar"/>
    <w:uiPriority w:val="99"/>
    <w:semiHidden/>
    <w:unhideWhenUsed/>
    <w:rsid w:val="006115DA"/>
    <w:pPr>
      <w:spacing w:line="240" w:lineRule="auto"/>
    </w:pPr>
    <w:rPr>
      <w:sz w:val="20"/>
      <w:szCs w:val="20"/>
    </w:rPr>
  </w:style>
  <w:style w:type="character" w:customStyle="1" w:styleId="CommentTextChar">
    <w:name w:val="Comment Text Char"/>
    <w:basedOn w:val="DefaultParagraphFont"/>
    <w:link w:val="CommentText"/>
    <w:uiPriority w:val="99"/>
    <w:semiHidden/>
    <w:rsid w:val="006115DA"/>
    <w:rPr>
      <w:sz w:val="20"/>
      <w:szCs w:val="20"/>
    </w:rPr>
  </w:style>
  <w:style w:type="character" w:styleId="Hyperlink">
    <w:name w:val="Hyperlink"/>
    <w:basedOn w:val="DefaultParagraphFont"/>
    <w:uiPriority w:val="99"/>
    <w:unhideWhenUsed/>
    <w:rsid w:val="0008498F"/>
    <w:rPr>
      <w:color w:val="0563C1" w:themeColor="hyperlink"/>
      <w:u w:val="single"/>
    </w:rPr>
  </w:style>
  <w:style w:type="character" w:customStyle="1" w:styleId="jrnl">
    <w:name w:val="jrnl"/>
    <w:basedOn w:val="DefaultParagraphFont"/>
    <w:rsid w:val="005C6BD7"/>
  </w:style>
  <w:style w:type="paragraph" w:customStyle="1" w:styleId="Title1">
    <w:name w:val="Title1"/>
    <w:basedOn w:val="Normal"/>
    <w:rsid w:val="005B66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sc">
    <w:name w:val="desc"/>
    <w:basedOn w:val="Normal"/>
    <w:rsid w:val="005B66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tails">
    <w:name w:val="details"/>
    <w:basedOn w:val="Normal"/>
    <w:rsid w:val="005B668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593164">
      <w:bodyDiv w:val="1"/>
      <w:marLeft w:val="0"/>
      <w:marRight w:val="0"/>
      <w:marTop w:val="0"/>
      <w:marBottom w:val="0"/>
      <w:divBdr>
        <w:top w:val="none" w:sz="0" w:space="0" w:color="auto"/>
        <w:left w:val="none" w:sz="0" w:space="0" w:color="auto"/>
        <w:bottom w:val="none" w:sz="0" w:space="0" w:color="auto"/>
        <w:right w:val="none" w:sz="0" w:space="0" w:color="auto"/>
      </w:divBdr>
      <w:divsChild>
        <w:div w:id="247926523">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186/s12872-019-1033-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government/publications/medication-errors-short-life-working-group-repor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6EDD2-9E16-462A-914A-1D4B42D45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3275</Words>
  <Characters>18671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Ward</dc:creator>
  <cp:keywords/>
  <dc:description/>
  <cp:lastModifiedBy>prof tim higenbottam</cp:lastModifiedBy>
  <cp:revision>4</cp:revision>
  <dcterms:created xsi:type="dcterms:W3CDTF">2019-09-17T11:11:00Z</dcterms:created>
  <dcterms:modified xsi:type="dcterms:W3CDTF">2019-09-17T11:14:00Z</dcterms:modified>
</cp:coreProperties>
</file>